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2C296" w14:textId="2D40921C" w:rsidR="00307976" w:rsidRPr="004F55F8" w:rsidRDefault="00307976" w:rsidP="004F55F8">
      <w:pPr>
        <w:jc w:val="right"/>
        <w:rPr>
          <w:rFonts w:asciiTheme="minorHAnsi" w:hAnsiTheme="minorHAnsi" w:cs="MyriadPro-Light"/>
          <w:b/>
          <w:color w:val="000000"/>
        </w:rPr>
        <w:sectPr w:rsidR="00307976" w:rsidRPr="004F55F8" w:rsidSect="004F7A46"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296" w:right="1296" w:bottom="1296" w:left="1296" w:header="504" w:footer="720" w:gutter="0"/>
          <w:cols w:space="720"/>
          <w:titlePg/>
        </w:sectPr>
      </w:pPr>
      <w:bookmarkStart w:id="0" w:name="_GoBack"/>
      <w:bookmarkEnd w:id="0"/>
    </w:p>
    <w:p w14:paraId="11FFE377" w14:textId="77777777" w:rsidR="00FC6D28" w:rsidRPr="00FC6D28" w:rsidRDefault="00FC6D28" w:rsidP="00CD1FBF">
      <w:pPr>
        <w:adjustRightInd w:val="0"/>
        <w:spacing w:after="4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FC6D28">
        <w:rPr>
          <w:rFonts w:asciiTheme="minorHAnsi" w:hAnsiTheme="minorHAnsi"/>
          <w:b/>
          <w:bCs/>
          <w:color w:val="000000"/>
          <w:sz w:val="22"/>
          <w:szCs w:val="22"/>
        </w:rPr>
        <w:t>Introduction</w:t>
      </w:r>
    </w:p>
    <w:p w14:paraId="20C60015" w14:textId="698E2677" w:rsidR="00021DFC" w:rsidRDefault="00751590" w:rsidP="00751590">
      <w:pPr>
        <w:ind w:right="720"/>
        <w:rPr>
          <w:rFonts w:asciiTheme="minorHAnsi" w:hAnsiTheme="minorHAnsi"/>
          <w:sz w:val="22"/>
          <w:szCs w:val="22"/>
        </w:rPr>
      </w:pPr>
      <w:r w:rsidRPr="00751590">
        <w:rPr>
          <w:rFonts w:asciiTheme="minorHAnsi" w:hAnsiTheme="minorHAnsi"/>
          <w:sz w:val="22"/>
          <w:szCs w:val="22"/>
        </w:rPr>
        <w:t xml:space="preserve">The Regional Prevention Partnerships </w:t>
      </w:r>
      <w:r w:rsidR="00021DFC">
        <w:rPr>
          <w:rFonts w:asciiTheme="minorHAnsi" w:hAnsiTheme="minorHAnsi"/>
          <w:sz w:val="22"/>
          <w:szCs w:val="22"/>
        </w:rPr>
        <w:t xml:space="preserve">(RPP) </w:t>
      </w:r>
      <w:r w:rsidRPr="00751590">
        <w:rPr>
          <w:rFonts w:asciiTheme="minorHAnsi" w:hAnsiTheme="minorHAnsi"/>
          <w:sz w:val="22"/>
          <w:szCs w:val="22"/>
        </w:rPr>
        <w:t>grants are a customized regional response to reduce alcohol and drug use among adolescents, teens, and young adults.</w:t>
      </w:r>
      <w:r>
        <w:rPr>
          <w:rFonts w:asciiTheme="minorHAnsi" w:hAnsiTheme="minorHAnsi"/>
          <w:sz w:val="22"/>
          <w:szCs w:val="22"/>
        </w:rPr>
        <w:t xml:space="preserve"> </w:t>
      </w:r>
      <w:r w:rsidRPr="00751590">
        <w:rPr>
          <w:rFonts w:asciiTheme="minorHAnsi" w:hAnsiTheme="minorHAnsi"/>
          <w:sz w:val="22"/>
          <w:szCs w:val="22"/>
        </w:rPr>
        <w:t xml:space="preserve">This is a federally funded program that builds on Vermont’s </w:t>
      </w:r>
      <w:r>
        <w:rPr>
          <w:rFonts w:asciiTheme="minorHAnsi" w:hAnsiTheme="minorHAnsi"/>
          <w:sz w:val="22"/>
          <w:szCs w:val="22"/>
        </w:rPr>
        <w:t xml:space="preserve">success with the </w:t>
      </w:r>
      <w:r w:rsidRPr="00751590">
        <w:rPr>
          <w:rFonts w:asciiTheme="minorHAnsi" w:hAnsiTheme="minorHAnsi"/>
          <w:sz w:val="22"/>
          <w:szCs w:val="22"/>
        </w:rPr>
        <w:t>2012-2015 Partnerships for Success (PFS) Gran</w:t>
      </w:r>
      <w:r>
        <w:rPr>
          <w:rFonts w:asciiTheme="minorHAnsi" w:hAnsiTheme="minorHAnsi"/>
          <w:sz w:val="22"/>
          <w:szCs w:val="22"/>
        </w:rPr>
        <w:t xml:space="preserve">t and use of the </w:t>
      </w:r>
      <w:r w:rsidR="00021DFC">
        <w:rPr>
          <w:rFonts w:asciiTheme="minorHAnsi" w:hAnsiTheme="minorHAnsi"/>
          <w:sz w:val="22"/>
          <w:szCs w:val="22"/>
        </w:rPr>
        <w:t>strategic prevention framework.</w:t>
      </w:r>
      <w:r w:rsidR="009D24BA">
        <w:rPr>
          <w:rFonts w:asciiTheme="minorHAnsi" w:hAnsiTheme="minorHAnsi"/>
          <w:sz w:val="22"/>
          <w:szCs w:val="22"/>
        </w:rPr>
        <w:t xml:space="preserve"> The RPP grants will end in June 2020.</w:t>
      </w:r>
    </w:p>
    <w:p w14:paraId="0D668F5B" w14:textId="77777777" w:rsidR="00555B06" w:rsidRDefault="00555B06" w:rsidP="00751590">
      <w:pPr>
        <w:ind w:right="720"/>
        <w:rPr>
          <w:rFonts w:asciiTheme="minorHAnsi" w:hAnsiTheme="minorHAnsi"/>
          <w:sz w:val="22"/>
          <w:szCs w:val="22"/>
        </w:rPr>
      </w:pPr>
    </w:p>
    <w:p w14:paraId="377E0471" w14:textId="0B664F44" w:rsidR="00FC6D28" w:rsidRPr="00D53F47" w:rsidRDefault="00751590" w:rsidP="00751590">
      <w:pPr>
        <w:ind w:right="72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2"/>
          <w:szCs w:val="22"/>
        </w:rPr>
        <w:t>RPP continues to structure prevention efforts with the</w:t>
      </w:r>
      <w:r w:rsidRPr="00751590">
        <w:rPr>
          <w:rFonts w:asciiTheme="minorHAnsi" w:hAnsiTheme="minorHAnsi"/>
          <w:sz w:val="22"/>
          <w:szCs w:val="22"/>
        </w:rPr>
        <w:t xml:space="preserve"> strategic prevention framework</w:t>
      </w:r>
      <w:r w:rsidR="00D25225">
        <w:rPr>
          <w:rFonts w:asciiTheme="minorHAnsi" w:hAnsiTheme="minorHAnsi"/>
          <w:sz w:val="22"/>
          <w:szCs w:val="22"/>
        </w:rPr>
        <w:t xml:space="preserve"> to ensure </w:t>
      </w:r>
      <w:r w:rsidRPr="00751590">
        <w:rPr>
          <w:rFonts w:asciiTheme="minorHAnsi" w:hAnsiTheme="minorHAnsi"/>
          <w:sz w:val="22"/>
          <w:szCs w:val="22"/>
        </w:rPr>
        <w:t xml:space="preserve">prevention programs stay on track to make a positive change in meeting prevention program </w:t>
      </w:r>
      <w:r w:rsidR="007539F2" w:rsidRPr="00751590">
        <w:rPr>
          <w:rFonts w:asciiTheme="minorHAnsi" w:hAnsiTheme="minorHAnsi"/>
          <w:sz w:val="22"/>
          <w:szCs w:val="22"/>
        </w:rPr>
        <w:t>goals</w:t>
      </w:r>
      <w:r w:rsidR="007539F2">
        <w:rPr>
          <w:rFonts w:asciiTheme="minorHAnsi" w:hAnsiTheme="minorHAnsi"/>
          <w:sz w:val="22"/>
          <w:szCs w:val="22"/>
        </w:rPr>
        <w:t>, and to</w:t>
      </w:r>
      <w:r w:rsidR="00574D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support a</w:t>
      </w:r>
      <w:r w:rsidRPr="00751590">
        <w:rPr>
          <w:rFonts w:asciiTheme="minorHAnsi" w:hAnsiTheme="minorHAnsi"/>
          <w:sz w:val="22"/>
          <w:szCs w:val="22"/>
        </w:rPr>
        <w:t>n effective regional prevention network that will collectively cover the entire state.</w:t>
      </w:r>
      <w:r>
        <w:rPr>
          <w:rFonts w:asciiTheme="minorHAnsi" w:hAnsiTheme="minorHAnsi"/>
          <w:sz w:val="22"/>
          <w:szCs w:val="22"/>
        </w:rPr>
        <w:t xml:space="preserve"> </w:t>
      </w:r>
      <w:r w:rsidR="00825350">
        <w:rPr>
          <w:rFonts w:asciiTheme="minorHAnsi" w:hAnsiTheme="minorHAnsi"/>
          <w:sz w:val="22"/>
          <w:szCs w:val="22"/>
        </w:rPr>
        <w:t>Additionally, the RPP grant</w:t>
      </w:r>
      <w:r w:rsidR="00574D40">
        <w:rPr>
          <w:rFonts w:asciiTheme="minorHAnsi" w:hAnsiTheme="minorHAnsi"/>
          <w:sz w:val="22"/>
          <w:szCs w:val="22"/>
        </w:rPr>
        <w:t>s</w:t>
      </w:r>
      <w:r w:rsidR="00825350">
        <w:rPr>
          <w:rFonts w:asciiTheme="minorHAnsi" w:hAnsiTheme="minorHAnsi"/>
          <w:sz w:val="22"/>
          <w:szCs w:val="22"/>
        </w:rPr>
        <w:t xml:space="preserve"> address the health disparities related to substance use by Vermonters identified in these sub-populations:  LGBTQ, low socioeconomic status (SES), and military families.</w:t>
      </w:r>
    </w:p>
    <w:p w14:paraId="787D3325" w14:textId="77777777" w:rsidR="006B12B1" w:rsidRDefault="006B12B1" w:rsidP="00CD1FBF">
      <w:pPr>
        <w:adjustRightInd w:val="0"/>
        <w:spacing w:after="40"/>
        <w:rPr>
          <w:rFonts w:asciiTheme="minorHAnsi" w:hAnsiTheme="minorHAnsi"/>
          <w:b/>
          <w:sz w:val="22"/>
          <w:szCs w:val="22"/>
        </w:rPr>
      </w:pPr>
    </w:p>
    <w:p w14:paraId="7620194F" w14:textId="4514965D" w:rsidR="00FC6D28" w:rsidRPr="00FC6D28" w:rsidRDefault="00FC6D28" w:rsidP="00CD1FBF">
      <w:pPr>
        <w:adjustRightInd w:val="0"/>
        <w:spacing w:after="40"/>
        <w:rPr>
          <w:rFonts w:asciiTheme="minorHAnsi" w:hAnsiTheme="minorHAnsi"/>
          <w:b/>
          <w:sz w:val="22"/>
          <w:szCs w:val="22"/>
        </w:rPr>
      </w:pPr>
      <w:r w:rsidRPr="00FC6D28">
        <w:rPr>
          <w:rFonts w:asciiTheme="minorHAnsi" w:hAnsiTheme="minorHAnsi"/>
          <w:b/>
          <w:sz w:val="22"/>
          <w:szCs w:val="22"/>
        </w:rPr>
        <w:t>Goal</w:t>
      </w:r>
    </w:p>
    <w:p w14:paraId="26D7CD7B" w14:textId="5B80AFB3" w:rsidR="00F36403" w:rsidRDefault="00F36403" w:rsidP="00CD1FBF">
      <w:pPr>
        <w:adjustRightInd w:val="0"/>
        <w:spacing w:after="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RPP grant goals</w:t>
      </w:r>
      <w:r w:rsidR="00C76EAC">
        <w:rPr>
          <w:rFonts w:asciiTheme="minorHAnsi" w:hAnsiTheme="minorHAnsi"/>
          <w:sz w:val="22"/>
          <w:szCs w:val="22"/>
        </w:rPr>
        <w:t xml:space="preserve"> are guided by</w:t>
      </w:r>
      <w:r w:rsidR="00710339">
        <w:rPr>
          <w:rFonts w:asciiTheme="minorHAnsi" w:hAnsiTheme="minorHAnsi"/>
          <w:sz w:val="22"/>
          <w:szCs w:val="22"/>
        </w:rPr>
        <w:t xml:space="preserve"> decades of substance misuse and abuse prevention </w:t>
      </w:r>
      <w:r w:rsidR="004E255A">
        <w:rPr>
          <w:rFonts w:asciiTheme="minorHAnsi" w:hAnsiTheme="minorHAnsi"/>
          <w:sz w:val="22"/>
          <w:szCs w:val="22"/>
        </w:rPr>
        <w:t xml:space="preserve">best practices </w:t>
      </w:r>
      <w:r w:rsidR="00710339">
        <w:rPr>
          <w:rFonts w:asciiTheme="minorHAnsi" w:hAnsiTheme="minorHAnsi"/>
          <w:sz w:val="22"/>
          <w:szCs w:val="22"/>
        </w:rPr>
        <w:t>which are</w:t>
      </w:r>
      <w:r>
        <w:rPr>
          <w:rFonts w:asciiTheme="minorHAnsi" w:hAnsiTheme="minorHAnsi"/>
          <w:sz w:val="22"/>
          <w:szCs w:val="22"/>
        </w:rPr>
        <w:t xml:space="preserve"> </w:t>
      </w:r>
      <w:r w:rsidR="00256918">
        <w:rPr>
          <w:rFonts w:asciiTheme="minorHAnsi" w:hAnsiTheme="minorHAnsi"/>
          <w:sz w:val="22"/>
          <w:szCs w:val="22"/>
        </w:rPr>
        <w:t xml:space="preserve">proven </w:t>
      </w:r>
      <w:r w:rsidR="004E255A">
        <w:rPr>
          <w:rFonts w:asciiTheme="minorHAnsi" w:hAnsiTheme="minorHAnsi"/>
          <w:sz w:val="22"/>
          <w:szCs w:val="22"/>
        </w:rPr>
        <w:t xml:space="preserve">to be </w:t>
      </w:r>
      <w:r>
        <w:rPr>
          <w:rFonts w:asciiTheme="minorHAnsi" w:hAnsiTheme="minorHAnsi"/>
          <w:sz w:val="22"/>
          <w:szCs w:val="22"/>
        </w:rPr>
        <w:t>effective in preventing youth substance use</w:t>
      </w:r>
      <w:r w:rsidR="00256918">
        <w:rPr>
          <w:rFonts w:asciiTheme="minorHAnsi" w:hAnsiTheme="minorHAnsi"/>
          <w:sz w:val="22"/>
          <w:szCs w:val="22"/>
        </w:rPr>
        <w:t xml:space="preserve"> </w:t>
      </w:r>
      <w:r w:rsidR="004E255A">
        <w:rPr>
          <w:rFonts w:asciiTheme="minorHAnsi" w:hAnsiTheme="minorHAnsi"/>
          <w:sz w:val="22"/>
          <w:szCs w:val="22"/>
        </w:rPr>
        <w:t>and building adolescents’ sense of belonging and resiliency</w:t>
      </w:r>
      <w:r>
        <w:rPr>
          <w:rFonts w:asciiTheme="minorHAnsi" w:hAnsiTheme="minorHAnsi"/>
          <w:sz w:val="22"/>
          <w:szCs w:val="22"/>
        </w:rPr>
        <w:t xml:space="preserve">. The </w:t>
      </w:r>
      <w:r w:rsidR="004E255A">
        <w:rPr>
          <w:rFonts w:asciiTheme="minorHAnsi" w:hAnsiTheme="minorHAnsi"/>
          <w:sz w:val="22"/>
          <w:szCs w:val="22"/>
        </w:rPr>
        <w:t xml:space="preserve">RPP grant </w:t>
      </w:r>
      <w:r>
        <w:rPr>
          <w:rFonts w:asciiTheme="minorHAnsi" w:hAnsiTheme="minorHAnsi"/>
          <w:sz w:val="22"/>
          <w:szCs w:val="22"/>
        </w:rPr>
        <w:t xml:space="preserve">goals, reducing underage and binge drinking (ages 12-20), reducing marijuana use (ages 12-25), and reducing prescription drug misuse (ages 12-25) among youth and young adults, </w:t>
      </w:r>
      <w:r w:rsidR="004E255A">
        <w:rPr>
          <w:rFonts w:asciiTheme="minorHAnsi" w:hAnsiTheme="minorHAnsi"/>
          <w:sz w:val="22"/>
          <w:szCs w:val="22"/>
        </w:rPr>
        <w:t>are based in prevention best practice and build on the expertise of preventionists statewide from the below organizations</w:t>
      </w:r>
      <w:r w:rsidR="00C76EAC">
        <w:rPr>
          <w:rFonts w:asciiTheme="minorHAnsi" w:hAnsiTheme="minorHAnsi"/>
          <w:sz w:val="22"/>
          <w:szCs w:val="22"/>
        </w:rPr>
        <w:t xml:space="preserve"> and their local partners</w:t>
      </w:r>
      <w:r w:rsidR="004E255A">
        <w:rPr>
          <w:rFonts w:asciiTheme="minorHAnsi" w:hAnsiTheme="minorHAnsi"/>
          <w:sz w:val="22"/>
          <w:szCs w:val="22"/>
        </w:rPr>
        <w:t>:</w:t>
      </w:r>
    </w:p>
    <w:p w14:paraId="7EF26AE4" w14:textId="2748B09B" w:rsidR="00825350" w:rsidRPr="0072025C" w:rsidRDefault="00825350" w:rsidP="00825350">
      <w:pPr>
        <w:snapToGrid w:val="0"/>
        <w:rPr>
          <w:rFonts w:asciiTheme="minorHAnsi" w:hAnsiTheme="minorHAnsi"/>
          <w:b/>
          <w:bCs/>
          <w:color w:val="000000"/>
          <w:sz w:val="12"/>
          <w:szCs w:val="22"/>
        </w:rPr>
      </w:pPr>
    </w:p>
    <w:tbl>
      <w:tblPr>
        <w:tblStyle w:val="ListTable4-Accent5"/>
        <w:tblW w:w="0" w:type="auto"/>
        <w:tblLook w:val="04A0" w:firstRow="1" w:lastRow="0" w:firstColumn="1" w:lastColumn="0" w:noHBand="0" w:noVBand="1"/>
      </w:tblPr>
      <w:tblGrid>
        <w:gridCol w:w="2425"/>
        <w:gridCol w:w="6300"/>
      </w:tblGrid>
      <w:tr w:rsidR="00E82E61" w:rsidRPr="007539F2" w14:paraId="5E585467" w14:textId="77777777" w:rsidTr="00720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3273659" w14:textId="725BA6B0" w:rsidR="00E82E61" w:rsidRPr="007539F2" w:rsidRDefault="007539F2" w:rsidP="00CD1FBF">
            <w:pPr>
              <w:adjustRightInd w:val="0"/>
              <w:spacing w:after="40"/>
              <w:rPr>
                <w:rFonts w:asciiTheme="majorHAnsi" w:hAnsiTheme="majorHAnsi"/>
                <w:bCs w:val="0"/>
                <w:color w:val="000000"/>
                <w:sz w:val="22"/>
                <w:szCs w:val="22"/>
              </w:rPr>
            </w:pPr>
            <w:r w:rsidRPr="007539F2">
              <w:rPr>
                <w:rFonts w:asciiTheme="majorHAnsi" w:hAnsiTheme="majorHAnsi"/>
                <w:bCs w:val="0"/>
                <w:color w:val="000000"/>
                <w:sz w:val="22"/>
                <w:szCs w:val="22"/>
              </w:rPr>
              <w:t>Region</w:t>
            </w:r>
          </w:p>
        </w:tc>
        <w:tc>
          <w:tcPr>
            <w:tcW w:w="6300" w:type="dxa"/>
          </w:tcPr>
          <w:p w14:paraId="225CD4B1" w14:textId="5A625CD2" w:rsidR="00E82E61" w:rsidRPr="007539F2" w:rsidRDefault="007539F2" w:rsidP="00CD1FBF">
            <w:pPr>
              <w:adjustRightInd w:val="0"/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color w:val="000000"/>
                <w:sz w:val="22"/>
                <w:szCs w:val="22"/>
              </w:rPr>
            </w:pPr>
            <w:r w:rsidRPr="007539F2">
              <w:rPr>
                <w:rFonts w:asciiTheme="majorHAnsi" w:hAnsiTheme="majorHAnsi"/>
                <w:bCs w:val="0"/>
                <w:color w:val="000000"/>
                <w:sz w:val="22"/>
                <w:szCs w:val="22"/>
              </w:rPr>
              <w:t>Lead Organization</w:t>
            </w:r>
          </w:p>
        </w:tc>
      </w:tr>
      <w:tr w:rsidR="007539F2" w:rsidRPr="007539F2" w14:paraId="413585CC" w14:textId="77777777" w:rsidTr="00720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DAAE5E8" w14:textId="7DEB0C50" w:rsidR="007539F2" w:rsidRPr="007539F2" w:rsidRDefault="007539F2" w:rsidP="007539F2">
            <w:pPr>
              <w:adjustRightInd w:val="0"/>
              <w:spacing w:after="40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7539F2">
              <w:rPr>
                <w:rFonts w:asciiTheme="minorHAnsi" w:hAnsiTheme="minorHAnsi"/>
                <w:b w:val="0"/>
                <w:sz w:val="22"/>
                <w:szCs w:val="22"/>
              </w:rPr>
              <w:t>Barre</w:t>
            </w:r>
          </w:p>
        </w:tc>
        <w:tc>
          <w:tcPr>
            <w:tcW w:w="6300" w:type="dxa"/>
          </w:tcPr>
          <w:p w14:paraId="2042E41A" w14:textId="523938D3" w:rsidR="007539F2" w:rsidRPr="007539F2" w:rsidRDefault="007539F2" w:rsidP="007539F2">
            <w:pPr>
              <w:adjustRightIn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7539F2">
              <w:rPr>
                <w:rFonts w:asciiTheme="minorHAnsi" w:hAnsiTheme="minorHAnsi"/>
                <w:sz w:val="22"/>
                <w:szCs w:val="22"/>
              </w:rPr>
              <w:t>Central Vermont New Directions</w:t>
            </w:r>
          </w:p>
        </w:tc>
      </w:tr>
      <w:tr w:rsidR="007539F2" w:rsidRPr="007539F2" w14:paraId="76CCBF86" w14:textId="77777777" w:rsidTr="00720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D5AC078" w14:textId="3D444BC7" w:rsidR="007539F2" w:rsidRPr="007539F2" w:rsidRDefault="007539F2" w:rsidP="007539F2">
            <w:pPr>
              <w:adjustRightInd w:val="0"/>
              <w:spacing w:after="40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7539F2">
              <w:rPr>
                <w:rFonts w:asciiTheme="minorHAnsi" w:hAnsiTheme="minorHAnsi"/>
                <w:b w:val="0"/>
                <w:sz w:val="22"/>
                <w:szCs w:val="22"/>
              </w:rPr>
              <w:t>Bennington</w:t>
            </w:r>
          </w:p>
        </w:tc>
        <w:tc>
          <w:tcPr>
            <w:tcW w:w="6300" w:type="dxa"/>
          </w:tcPr>
          <w:p w14:paraId="5D96A1DF" w14:textId="7845D249" w:rsidR="007539F2" w:rsidRPr="007539F2" w:rsidRDefault="007539F2" w:rsidP="007539F2">
            <w:pPr>
              <w:adjustRightInd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7539F2">
              <w:rPr>
                <w:rFonts w:asciiTheme="minorHAnsi" w:hAnsiTheme="minorHAnsi"/>
                <w:sz w:val="22"/>
                <w:szCs w:val="22"/>
              </w:rPr>
              <w:t>The Collaborative</w:t>
            </w:r>
          </w:p>
        </w:tc>
      </w:tr>
      <w:tr w:rsidR="007539F2" w:rsidRPr="007539F2" w14:paraId="38127E72" w14:textId="77777777" w:rsidTr="00720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7DC7DE1" w14:textId="001BEEBC" w:rsidR="007539F2" w:rsidRPr="007539F2" w:rsidRDefault="007539F2" w:rsidP="007539F2">
            <w:pPr>
              <w:adjustRightInd w:val="0"/>
              <w:spacing w:after="40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7539F2">
              <w:rPr>
                <w:rFonts w:asciiTheme="minorHAnsi" w:hAnsiTheme="minorHAnsi"/>
                <w:b w:val="0"/>
                <w:sz w:val="22"/>
                <w:szCs w:val="22"/>
              </w:rPr>
              <w:t>Brattleboro</w:t>
            </w:r>
          </w:p>
        </w:tc>
        <w:tc>
          <w:tcPr>
            <w:tcW w:w="6300" w:type="dxa"/>
          </w:tcPr>
          <w:p w14:paraId="50D5E080" w14:textId="29A14058" w:rsidR="007539F2" w:rsidRPr="007539F2" w:rsidRDefault="007539F2" w:rsidP="007539F2">
            <w:pPr>
              <w:adjustRightIn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7539F2">
              <w:rPr>
                <w:rFonts w:asciiTheme="minorHAnsi" w:hAnsiTheme="minorHAnsi"/>
                <w:sz w:val="22"/>
                <w:szCs w:val="22"/>
              </w:rPr>
              <w:t>Youth Services</w:t>
            </w:r>
          </w:p>
        </w:tc>
      </w:tr>
      <w:tr w:rsidR="007539F2" w:rsidRPr="007539F2" w14:paraId="26848716" w14:textId="77777777" w:rsidTr="00720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519E205" w14:textId="4AA242D1" w:rsidR="007539F2" w:rsidRPr="007539F2" w:rsidRDefault="007539F2" w:rsidP="007539F2">
            <w:pPr>
              <w:adjustRightInd w:val="0"/>
              <w:spacing w:after="40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7539F2">
              <w:rPr>
                <w:rFonts w:asciiTheme="minorHAnsi" w:hAnsiTheme="minorHAnsi"/>
                <w:b w:val="0"/>
                <w:sz w:val="22"/>
                <w:szCs w:val="22"/>
              </w:rPr>
              <w:t>Burlington</w:t>
            </w:r>
          </w:p>
        </w:tc>
        <w:tc>
          <w:tcPr>
            <w:tcW w:w="6300" w:type="dxa"/>
          </w:tcPr>
          <w:p w14:paraId="4D007B3C" w14:textId="2A2E3355" w:rsidR="007539F2" w:rsidRPr="007539F2" w:rsidRDefault="007539F2" w:rsidP="007539F2">
            <w:pPr>
              <w:adjustRightInd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7539F2">
              <w:rPr>
                <w:rFonts w:asciiTheme="minorHAnsi" w:hAnsiTheme="minorHAnsi"/>
                <w:sz w:val="22"/>
                <w:szCs w:val="22"/>
              </w:rPr>
              <w:t>Chittenden County Regional Planning Commission</w:t>
            </w:r>
          </w:p>
        </w:tc>
      </w:tr>
      <w:tr w:rsidR="007539F2" w:rsidRPr="007539F2" w14:paraId="50161600" w14:textId="77777777" w:rsidTr="00720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53F2C1C" w14:textId="4DEA1F52" w:rsidR="007539F2" w:rsidRPr="007539F2" w:rsidRDefault="007539F2" w:rsidP="007539F2">
            <w:pPr>
              <w:adjustRightInd w:val="0"/>
              <w:spacing w:after="40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7539F2">
              <w:rPr>
                <w:rFonts w:asciiTheme="minorHAnsi" w:hAnsiTheme="minorHAnsi"/>
                <w:b w:val="0"/>
                <w:sz w:val="22"/>
                <w:szCs w:val="22"/>
              </w:rPr>
              <w:t>Middlebury</w:t>
            </w:r>
          </w:p>
        </w:tc>
        <w:tc>
          <w:tcPr>
            <w:tcW w:w="6300" w:type="dxa"/>
          </w:tcPr>
          <w:p w14:paraId="238C1533" w14:textId="497402AB" w:rsidR="007539F2" w:rsidRPr="007539F2" w:rsidRDefault="007539F2" w:rsidP="007539F2">
            <w:pPr>
              <w:adjustRightIn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7539F2">
              <w:rPr>
                <w:rFonts w:asciiTheme="minorHAnsi" w:hAnsiTheme="minorHAnsi"/>
                <w:sz w:val="22"/>
                <w:szCs w:val="22"/>
              </w:rPr>
              <w:t xml:space="preserve">United Way of Addison County, Inc. </w:t>
            </w:r>
          </w:p>
        </w:tc>
      </w:tr>
      <w:tr w:rsidR="007539F2" w:rsidRPr="007539F2" w14:paraId="69D12574" w14:textId="77777777" w:rsidTr="00720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4AF0617" w14:textId="29C07B63" w:rsidR="007539F2" w:rsidRPr="007539F2" w:rsidRDefault="007539F2" w:rsidP="007539F2">
            <w:pPr>
              <w:adjustRightInd w:val="0"/>
              <w:spacing w:after="40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7539F2">
              <w:rPr>
                <w:rFonts w:asciiTheme="minorHAnsi" w:hAnsiTheme="minorHAnsi"/>
                <w:b w:val="0"/>
                <w:sz w:val="22"/>
                <w:szCs w:val="22"/>
              </w:rPr>
              <w:t>Morrisville</w:t>
            </w:r>
          </w:p>
        </w:tc>
        <w:tc>
          <w:tcPr>
            <w:tcW w:w="6300" w:type="dxa"/>
          </w:tcPr>
          <w:p w14:paraId="39897819" w14:textId="02973C35" w:rsidR="007539F2" w:rsidRPr="007539F2" w:rsidRDefault="007539F2" w:rsidP="007539F2">
            <w:pPr>
              <w:adjustRightInd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7539F2">
              <w:rPr>
                <w:rFonts w:asciiTheme="minorHAnsi" w:hAnsiTheme="minorHAnsi"/>
                <w:sz w:val="22"/>
                <w:szCs w:val="22"/>
              </w:rPr>
              <w:t>Healthy Lamoille Valley</w:t>
            </w:r>
          </w:p>
        </w:tc>
      </w:tr>
      <w:tr w:rsidR="007539F2" w:rsidRPr="007539F2" w14:paraId="55541F17" w14:textId="77777777" w:rsidTr="00720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A56DAFC" w14:textId="584A3C56" w:rsidR="007539F2" w:rsidRPr="007539F2" w:rsidRDefault="007539F2" w:rsidP="007539F2">
            <w:pPr>
              <w:adjustRightInd w:val="0"/>
              <w:spacing w:after="40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7539F2">
              <w:rPr>
                <w:rFonts w:asciiTheme="minorHAnsi" w:hAnsiTheme="minorHAnsi"/>
                <w:b w:val="0"/>
                <w:sz w:val="22"/>
                <w:szCs w:val="22"/>
              </w:rPr>
              <w:t>Newport</w:t>
            </w:r>
          </w:p>
        </w:tc>
        <w:tc>
          <w:tcPr>
            <w:tcW w:w="6300" w:type="dxa"/>
          </w:tcPr>
          <w:p w14:paraId="711BDF58" w14:textId="7EED67CF" w:rsidR="007539F2" w:rsidRPr="007539F2" w:rsidRDefault="007539F2" w:rsidP="007539F2">
            <w:pPr>
              <w:adjustRightIn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7539F2">
              <w:rPr>
                <w:rFonts w:asciiTheme="minorHAnsi" w:hAnsiTheme="minorHAnsi"/>
                <w:sz w:val="22"/>
                <w:szCs w:val="22"/>
              </w:rPr>
              <w:t>Northeast Kingdom Learning Services, Inc.</w:t>
            </w:r>
          </w:p>
        </w:tc>
      </w:tr>
      <w:tr w:rsidR="007539F2" w:rsidRPr="007539F2" w14:paraId="30B2A91E" w14:textId="77777777" w:rsidTr="00720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8899D21" w14:textId="32F99200" w:rsidR="007539F2" w:rsidRPr="007539F2" w:rsidRDefault="007539F2" w:rsidP="007539F2">
            <w:pPr>
              <w:adjustRightInd w:val="0"/>
              <w:spacing w:after="40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7539F2">
              <w:rPr>
                <w:rFonts w:asciiTheme="minorHAnsi" w:hAnsiTheme="minorHAnsi"/>
                <w:b w:val="0"/>
                <w:sz w:val="22"/>
                <w:szCs w:val="22"/>
              </w:rPr>
              <w:t>Rutland</w:t>
            </w:r>
          </w:p>
        </w:tc>
        <w:tc>
          <w:tcPr>
            <w:tcW w:w="6300" w:type="dxa"/>
          </w:tcPr>
          <w:p w14:paraId="125DB9EE" w14:textId="74B476FF" w:rsidR="007539F2" w:rsidRPr="007539F2" w:rsidRDefault="007539F2" w:rsidP="007539F2">
            <w:pPr>
              <w:adjustRightInd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7539F2">
              <w:rPr>
                <w:rFonts w:asciiTheme="minorHAnsi" w:hAnsiTheme="minorHAnsi"/>
                <w:sz w:val="22"/>
                <w:szCs w:val="22"/>
              </w:rPr>
              <w:t>Rutland Regional Medical Center</w:t>
            </w:r>
          </w:p>
        </w:tc>
      </w:tr>
      <w:tr w:rsidR="007539F2" w:rsidRPr="007539F2" w14:paraId="7882564E" w14:textId="77777777" w:rsidTr="00720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10EAC94" w14:textId="2B62CCEA" w:rsidR="007539F2" w:rsidRPr="007539F2" w:rsidRDefault="007539F2" w:rsidP="007539F2">
            <w:pPr>
              <w:adjustRightInd w:val="0"/>
              <w:spacing w:after="40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7539F2">
              <w:rPr>
                <w:rFonts w:asciiTheme="minorHAnsi" w:hAnsiTheme="minorHAnsi"/>
                <w:b w:val="0"/>
                <w:sz w:val="22"/>
                <w:szCs w:val="22"/>
              </w:rPr>
              <w:t>Springfield</w:t>
            </w:r>
          </w:p>
        </w:tc>
        <w:tc>
          <w:tcPr>
            <w:tcW w:w="6300" w:type="dxa"/>
          </w:tcPr>
          <w:p w14:paraId="3AFF8AF3" w14:textId="4A45FCB6" w:rsidR="007539F2" w:rsidRPr="007539F2" w:rsidRDefault="007539F2" w:rsidP="007539F2">
            <w:pPr>
              <w:adjustRightIn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7539F2">
              <w:rPr>
                <w:rFonts w:asciiTheme="minorHAnsi" w:hAnsiTheme="minorHAnsi"/>
                <w:sz w:val="22"/>
                <w:szCs w:val="22"/>
              </w:rPr>
              <w:t>The Collaborative</w:t>
            </w:r>
          </w:p>
        </w:tc>
      </w:tr>
      <w:tr w:rsidR="007539F2" w:rsidRPr="007539F2" w14:paraId="745E76A9" w14:textId="77777777" w:rsidTr="00720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1D5E695" w14:textId="085BE85B" w:rsidR="007539F2" w:rsidRPr="007539F2" w:rsidRDefault="007539F2" w:rsidP="007539F2">
            <w:pPr>
              <w:adjustRightInd w:val="0"/>
              <w:spacing w:after="40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7539F2">
              <w:rPr>
                <w:rFonts w:asciiTheme="minorHAnsi" w:hAnsiTheme="minorHAnsi"/>
                <w:b w:val="0"/>
                <w:sz w:val="22"/>
                <w:szCs w:val="22"/>
              </w:rPr>
              <w:t>St. Albans</w:t>
            </w:r>
          </w:p>
        </w:tc>
        <w:tc>
          <w:tcPr>
            <w:tcW w:w="6300" w:type="dxa"/>
          </w:tcPr>
          <w:p w14:paraId="15FBB514" w14:textId="79FCB77E" w:rsidR="007539F2" w:rsidRPr="007539F2" w:rsidRDefault="007539F2" w:rsidP="007539F2">
            <w:pPr>
              <w:adjustRightInd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7539F2">
              <w:rPr>
                <w:rFonts w:asciiTheme="minorHAnsi" w:hAnsiTheme="minorHAnsi"/>
                <w:sz w:val="22"/>
                <w:szCs w:val="22"/>
              </w:rPr>
              <w:t>Franklin County Caring Communities</w:t>
            </w:r>
          </w:p>
        </w:tc>
      </w:tr>
      <w:tr w:rsidR="007539F2" w:rsidRPr="007539F2" w14:paraId="6B576F45" w14:textId="77777777" w:rsidTr="00720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B35D9DC" w14:textId="48ED9924" w:rsidR="007539F2" w:rsidRPr="007539F2" w:rsidRDefault="007539F2" w:rsidP="007539F2">
            <w:pPr>
              <w:adjustRightInd w:val="0"/>
              <w:spacing w:after="40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7539F2">
              <w:rPr>
                <w:rFonts w:asciiTheme="minorHAnsi" w:hAnsiTheme="minorHAnsi"/>
                <w:b w:val="0"/>
                <w:sz w:val="22"/>
                <w:szCs w:val="22"/>
              </w:rPr>
              <w:t>St. Johnsbury</w:t>
            </w:r>
          </w:p>
        </w:tc>
        <w:tc>
          <w:tcPr>
            <w:tcW w:w="6300" w:type="dxa"/>
          </w:tcPr>
          <w:p w14:paraId="1BF39993" w14:textId="6F1853C2" w:rsidR="007539F2" w:rsidRPr="007539F2" w:rsidRDefault="007539F2" w:rsidP="007539F2">
            <w:pPr>
              <w:adjustRightIn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7539F2">
              <w:rPr>
                <w:rFonts w:asciiTheme="minorHAnsi" w:hAnsiTheme="minorHAnsi"/>
                <w:sz w:val="22"/>
                <w:szCs w:val="22"/>
              </w:rPr>
              <w:t>Northeastern Vermont Regional Hospital</w:t>
            </w:r>
          </w:p>
        </w:tc>
      </w:tr>
      <w:tr w:rsidR="007539F2" w:rsidRPr="007539F2" w14:paraId="6DA6B7D2" w14:textId="77777777" w:rsidTr="00720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454A63A" w14:textId="5E18C8C0" w:rsidR="007539F2" w:rsidRPr="007539F2" w:rsidRDefault="007539F2" w:rsidP="007539F2">
            <w:pPr>
              <w:adjustRightInd w:val="0"/>
              <w:spacing w:after="40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7539F2">
              <w:rPr>
                <w:rFonts w:asciiTheme="minorHAnsi" w:hAnsiTheme="minorHAnsi"/>
                <w:b w:val="0"/>
                <w:sz w:val="22"/>
                <w:szCs w:val="22"/>
              </w:rPr>
              <w:t>White River Junction</w:t>
            </w:r>
          </w:p>
        </w:tc>
        <w:tc>
          <w:tcPr>
            <w:tcW w:w="6300" w:type="dxa"/>
          </w:tcPr>
          <w:p w14:paraId="0E79B1CD" w14:textId="13522467" w:rsidR="007539F2" w:rsidRPr="007539F2" w:rsidRDefault="007539F2" w:rsidP="007539F2">
            <w:pPr>
              <w:adjustRightInd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7539F2">
              <w:rPr>
                <w:rFonts w:asciiTheme="minorHAnsi" w:hAnsiTheme="minorHAnsi"/>
                <w:sz w:val="22"/>
                <w:szCs w:val="22"/>
              </w:rPr>
              <w:t>Mt. Ascutney Hospital</w:t>
            </w:r>
          </w:p>
        </w:tc>
      </w:tr>
    </w:tbl>
    <w:p w14:paraId="712714C2" w14:textId="77777777" w:rsidR="0072025C" w:rsidRDefault="0072025C" w:rsidP="00CD1FBF">
      <w:pPr>
        <w:adjustRightInd w:val="0"/>
        <w:spacing w:after="4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34FBAA8F" w14:textId="5DD28AE3" w:rsidR="00FC6D28" w:rsidRPr="00FC6D28" w:rsidRDefault="00FC6D28" w:rsidP="00CD1FBF">
      <w:pPr>
        <w:adjustRightInd w:val="0"/>
        <w:spacing w:after="4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FC6D28">
        <w:rPr>
          <w:rFonts w:asciiTheme="minorHAnsi" w:hAnsiTheme="minorHAnsi"/>
          <w:b/>
          <w:bCs/>
          <w:color w:val="000000"/>
          <w:sz w:val="22"/>
          <w:szCs w:val="22"/>
        </w:rPr>
        <w:t>Grants Program</w:t>
      </w:r>
    </w:p>
    <w:p w14:paraId="35CB01FF" w14:textId="766BB344" w:rsidR="00FC6D28" w:rsidRPr="00FC6D28" w:rsidRDefault="003C2779" w:rsidP="00B47049">
      <w:pPr>
        <w:pStyle w:val="BasicBodyText-Calibri"/>
      </w:pPr>
      <w:r>
        <w:t>Twelve RPP Lead Agencies</w:t>
      </w:r>
      <w:r w:rsidR="00B056C2">
        <w:t>, one in each of the state’s health districts,</w:t>
      </w:r>
      <w:r w:rsidR="0012318B">
        <w:t xml:space="preserve"> were awarded </w:t>
      </w:r>
      <w:r>
        <w:t>approximately $130</w:t>
      </w:r>
      <w:r w:rsidR="00FC6D28" w:rsidRPr="00FC6D28">
        <w:t>,000 each (t</w:t>
      </w:r>
      <w:r>
        <w:t>otaling approximately $1,560,000</w:t>
      </w:r>
      <w:r w:rsidR="00AA51DC">
        <w:t>)</w:t>
      </w:r>
      <w:r w:rsidR="00FC6D28" w:rsidRPr="00FC6D28">
        <w:t xml:space="preserve"> </w:t>
      </w:r>
      <w:r w:rsidR="0012318B" w:rsidRPr="0012318B">
        <w:t xml:space="preserve">to </w:t>
      </w:r>
      <w:r w:rsidR="00B47049">
        <w:t>coordinate/</w:t>
      </w:r>
      <w:r w:rsidR="0012318B" w:rsidRPr="0012318B">
        <w:t xml:space="preserve">provide and enhance substance </w:t>
      </w:r>
      <w:r w:rsidR="00021DFC">
        <w:t>use</w:t>
      </w:r>
      <w:r w:rsidR="0012318B" w:rsidRPr="0012318B">
        <w:t xml:space="preserve"> prevention</w:t>
      </w:r>
      <w:r w:rsidR="0012318B">
        <w:t xml:space="preserve"> and early intervention services</w:t>
      </w:r>
      <w:r w:rsidR="00B47049">
        <w:t xml:space="preserve"> in their health district</w:t>
      </w:r>
      <w:r w:rsidR="0012318B" w:rsidRPr="0012318B">
        <w:t xml:space="preserve">. </w:t>
      </w:r>
      <w:r w:rsidR="00B47049">
        <w:t>Six of the health districts had received funding under a previous federal grant (PFS)</w:t>
      </w:r>
      <w:r w:rsidR="00503B85">
        <w:t xml:space="preserve"> and receive RPP funding on a step-down sustainability model</w:t>
      </w:r>
      <w:r w:rsidR="00B47049">
        <w:t xml:space="preserve">.  </w:t>
      </w:r>
    </w:p>
    <w:p w14:paraId="6438AE4C" w14:textId="77777777" w:rsidR="007539F2" w:rsidRDefault="007539F2" w:rsidP="00764816">
      <w:pPr>
        <w:adjustRightInd w:val="0"/>
        <w:spacing w:after="4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6B9459D8" w14:textId="07FF3248" w:rsidR="00764816" w:rsidRPr="00FC6D28" w:rsidRDefault="00764816" w:rsidP="00764816">
      <w:pPr>
        <w:adjustRightInd w:val="0"/>
        <w:spacing w:after="4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FC6D28">
        <w:rPr>
          <w:rFonts w:asciiTheme="minorHAnsi" w:hAnsiTheme="minorHAnsi"/>
          <w:b/>
          <w:bCs/>
          <w:color w:val="000000"/>
          <w:sz w:val="22"/>
          <w:szCs w:val="22"/>
        </w:rPr>
        <w:t xml:space="preserve">Progress </w:t>
      </w:r>
    </w:p>
    <w:p w14:paraId="3547A775" w14:textId="029021CC" w:rsidR="00764816" w:rsidRDefault="00764816" w:rsidP="00764816">
      <w:pPr>
        <w:tabs>
          <w:tab w:val="left" w:pos="9000"/>
        </w:tabs>
        <w:adjustRightInd w:val="0"/>
        <w:ind w:right="108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RPP is estimated to have reached </w:t>
      </w:r>
      <w:r w:rsidR="002A70BD">
        <w:rPr>
          <w:rFonts w:asciiTheme="minorHAnsi" w:hAnsiTheme="minorHAnsi"/>
          <w:color w:val="000000"/>
          <w:sz w:val="22"/>
          <w:szCs w:val="22"/>
        </w:rPr>
        <w:t>532,663</w:t>
      </w:r>
      <w:r>
        <w:rPr>
          <w:rFonts w:asciiTheme="minorHAnsi" w:hAnsiTheme="minorHAnsi"/>
          <w:color w:val="000000"/>
          <w:sz w:val="22"/>
          <w:szCs w:val="22"/>
        </w:rPr>
        <w:t xml:space="preserve"> Vermonters in FY1</w:t>
      </w:r>
      <w:r w:rsidR="002A70BD">
        <w:rPr>
          <w:rFonts w:asciiTheme="minorHAnsi" w:hAnsiTheme="minorHAnsi"/>
          <w:color w:val="000000"/>
          <w:sz w:val="22"/>
          <w:szCs w:val="22"/>
        </w:rPr>
        <w:t>8</w:t>
      </w:r>
      <w:r w:rsidR="006031CD">
        <w:rPr>
          <w:rFonts w:asciiTheme="minorHAnsi" w:hAnsiTheme="minorHAnsi"/>
          <w:color w:val="000000"/>
          <w:sz w:val="22"/>
          <w:szCs w:val="22"/>
        </w:rPr>
        <w:t xml:space="preserve"> through population-based interventions (e.g. policy, enforcement, education and outreach on prevention of prescription drug misuse, etc.)</w:t>
      </w:r>
      <w:r>
        <w:rPr>
          <w:rFonts w:asciiTheme="minorHAnsi" w:hAnsiTheme="minorHAnsi"/>
          <w:color w:val="000000"/>
          <w:sz w:val="22"/>
          <w:szCs w:val="22"/>
        </w:rPr>
        <w:t>.</w:t>
      </w:r>
      <w:r>
        <w:rPr>
          <w:rStyle w:val="FootnoteReference"/>
          <w:rFonts w:asciiTheme="minorHAnsi" w:hAnsiTheme="minorHAnsi"/>
          <w:color w:val="000000"/>
          <w:sz w:val="22"/>
          <w:szCs w:val="22"/>
        </w:rPr>
        <w:footnoteReference w:id="1"/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18F0143D" w14:textId="29452341" w:rsidR="006031CD" w:rsidRDefault="00C75F7E" w:rsidP="00764816">
      <w:pPr>
        <w:tabs>
          <w:tab w:val="left" w:pos="9000"/>
        </w:tabs>
        <w:adjustRightInd w:val="0"/>
        <w:ind w:right="1080"/>
        <w:rPr>
          <w:rFonts w:asciiTheme="minorHAnsi" w:hAnsiTheme="minorHAnsi"/>
          <w:color w:val="000000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C79D5D0" wp14:editId="4A199D34">
            <wp:simplePos x="0" y="0"/>
            <wp:positionH relativeFrom="column">
              <wp:posOffset>3181350</wp:posOffset>
            </wp:positionH>
            <wp:positionV relativeFrom="paragraph">
              <wp:posOffset>0</wp:posOffset>
            </wp:positionV>
            <wp:extent cx="3648075" cy="1905000"/>
            <wp:effectExtent l="0" t="0" r="9525" b="0"/>
            <wp:wrapTight wrapText="bothSides">
              <wp:wrapPolygon edited="0">
                <wp:start x="0" y="0"/>
                <wp:lineTo x="0" y="21384"/>
                <wp:lineTo x="21544" y="21384"/>
                <wp:lineTo x="21544" y="0"/>
                <wp:lineTo x="0" y="0"/>
              </wp:wrapPolygon>
            </wp:wrapTight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AC5ED550-2039-4A1E-9C37-EB4B78E26C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14:paraId="4D452EBE" w14:textId="18B90658" w:rsidR="003F24BC" w:rsidRPr="003F24BC" w:rsidRDefault="003F24BC" w:rsidP="00FC6D28">
      <w:pPr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3F24BC">
        <w:rPr>
          <w:rFonts w:asciiTheme="minorHAnsi" w:hAnsiTheme="minorHAnsi"/>
          <w:b/>
          <w:bCs/>
          <w:color w:val="000000"/>
          <w:sz w:val="22"/>
          <w:szCs w:val="22"/>
        </w:rPr>
        <w:t>Evaluation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/ Outcomes</w:t>
      </w:r>
    </w:p>
    <w:p w14:paraId="721F0CE8" w14:textId="32595CAD" w:rsidR="003F24BC" w:rsidRDefault="003F24BC" w:rsidP="00FC6D28">
      <w:pPr>
        <w:adjustRightInd w:val="0"/>
        <w:rPr>
          <w:rFonts w:asciiTheme="minorHAnsi" w:hAnsiTheme="minorHAnsi"/>
          <w:b/>
          <w:bCs/>
          <w:color w:val="000000"/>
          <w:sz w:val="20"/>
          <w:szCs w:val="22"/>
        </w:rPr>
      </w:pPr>
    </w:p>
    <w:p w14:paraId="2C3F10FA" w14:textId="0FBFE056" w:rsidR="003F24BC" w:rsidRDefault="0072025C" w:rsidP="0073664A">
      <w:pPr>
        <w:adjustRightInd w:val="0"/>
        <w:rPr>
          <w:rFonts w:asciiTheme="minorHAnsi" w:hAnsiTheme="minorHAnsi"/>
          <w:bCs/>
          <w:color w:val="000000"/>
          <w:sz w:val="22"/>
          <w:szCs w:val="22"/>
        </w:rPr>
      </w:pPr>
      <w:r w:rsidRPr="0072025C">
        <w:rPr>
          <w:rFonts w:asciiTheme="minorHAnsi" w:hAnsiTheme="minorHAnsi"/>
          <w:bCs/>
          <w:noProof/>
          <w:color w:val="000000"/>
          <w:sz w:val="16"/>
          <w:szCs w:val="22"/>
        </w:rPr>
        <w:drawing>
          <wp:anchor distT="0" distB="0" distL="114300" distR="114300" simplePos="0" relativeHeight="251660288" behindDoc="0" locked="0" layoutInCell="1" allowOverlap="1" wp14:anchorId="41E6DB21" wp14:editId="6A166426">
            <wp:simplePos x="0" y="0"/>
            <wp:positionH relativeFrom="margin">
              <wp:posOffset>3181350</wp:posOffset>
            </wp:positionH>
            <wp:positionV relativeFrom="paragraph">
              <wp:posOffset>1405255</wp:posOffset>
            </wp:positionV>
            <wp:extent cx="3648075" cy="2428875"/>
            <wp:effectExtent l="0" t="0" r="9525" b="9525"/>
            <wp:wrapSquare wrapText="bothSides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1E11714D-A90D-4408-A2F7-1DC5325710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68F">
        <w:rPr>
          <w:rFonts w:asciiTheme="minorHAnsi" w:hAnsiTheme="minorHAnsi"/>
          <w:bCs/>
          <w:color w:val="000000"/>
          <w:sz w:val="22"/>
          <w:szCs w:val="22"/>
        </w:rPr>
        <w:t>Grantees have been implementing a combination of evidence-based and best practice strategies for the last two years</w:t>
      </w:r>
      <w:r w:rsidR="00AA70C1">
        <w:rPr>
          <w:rFonts w:asciiTheme="minorHAnsi" w:hAnsiTheme="minorHAnsi"/>
          <w:bCs/>
          <w:color w:val="000000"/>
          <w:sz w:val="22"/>
          <w:szCs w:val="22"/>
        </w:rPr>
        <w:t xml:space="preserve">. </w:t>
      </w:r>
      <w:r w:rsidR="0073664A">
        <w:rPr>
          <w:rFonts w:asciiTheme="minorHAnsi" w:hAnsiTheme="minorHAnsi"/>
          <w:bCs/>
          <w:color w:val="000000"/>
          <w:sz w:val="22"/>
          <w:szCs w:val="22"/>
        </w:rPr>
        <w:t xml:space="preserve">The RPP outcomes </w:t>
      </w:r>
      <w:r w:rsidR="003F24BC" w:rsidRPr="0073664A">
        <w:rPr>
          <w:rFonts w:asciiTheme="minorHAnsi" w:hAnsiTheme="minorHAnsi"/>
          <w:bCs/>
          <w:color w:val="000000"/>
          <w:sz w:val="22"/>
          <w:szCs w:val="22"/>
        </w:rPr>
        <w:t xml:space="preserve">are being tracked in the Youth Risk Behavior Survey (YRBS—for students in grades </w:t>
      </w:r>
      <w:r w:rsidR="00FD370D">
        <w:rPr>
          <w:rFonts w:asciiTheme="minorHAnsi" w:hAnsiTheme="minorHAnsi"/>
          <w:bCs/>
          <w:color w:val="000000"/>
          <w:sz w:val="22"/>
          <w:szCs w:val="22"/>
        </w:rPr>
        <w:t>6</w:t>
      </w:r>
      <w:r w:rsidR="003F24BC" w:rsidRPr="0073664A">
        <w:rPr>
          <w:rFonts w:asciiTheme="minorHAnsi" w:hAnsiTheme="minorHAnsi"/>
          <w:bCs/>
          <w:color w:val="000000"/>
          <w:sz w:val="22"/>
          <w:szCs w:val="22"/>
        </w:rPr>
        <w:t>-12) and in the Young Adult Survey (YAS—for young adults 18-25).</w:t>
      </w:r>
      <w:r w:rsidR="00AA70C1">
        <w:rPr>
          <w:rFonts w:asciiTheme="minorHAnsi" w:hAnsiTheme="minorHAnsi"/>
          <w:bCs/>
          <w:color w:val="000000"/>
          <w:sz w:val="22"/>
          <w:szCs w:val="22"/>
        </w:rPr>
        <w:t xml:space="preserve">  In addition, data is collected from grantees quarterly on their activities. In the last two years the following accomplishments have been reported:</w:t>
      </w:r>
      <w:r w:rsidR="00C75F7E" w:rsidRPr="00C75F7E">
        <w:rPr>
          <w:noProof/>
        </w:rPr>
        <w:t xml:space="preserve"> </w:t>
      </w:r>
    </w:p>
    <w:p w14:paraId="2BF4FADE" w14:textId="1F51F009" w:rsidR="00AA70C1" w:rsidRDefault="00AA70C1" w:rsidP="00AA70C1">
      <w:pPr>
        <w:pStyle w:val="ListParagraph"/>
        <w:numPr>
          <w:ilvl w:val="0"/>
          <w:numId w:val="16"/>
        </w:numPr>
        <w:adjustRightInd w:val="0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 xml:space="preserve">A total of </w:t>
      </w:r>
      <w:r w:rsidR="006E1E71" w:rsidRPr="00045582">
        <w:rPr>
          <w:rFonts w:asciiTheme="minorHAnsi" w:hAnsiTheme="minorHAnsi"/>
          <w:b/>
          <w:bCs/>
          <w:color w:val="000000"/>
          <w:sz w:val="22"/>
          <w:szCs w:val="22"/>
        </w:rPr>
        <w:t>18</w:t>
      </w:r>
      <w:r w:rsidRPr="00045582">
        <w:rPr>
          <w:rFonts w:asciiTheme="minorHAnsi" w:hAnsiTheme="minorHAnsi"/>
          <w:b/>
          <w:bCs/>
          <w:color w:val="000000"/>
          <w:sz w:val="22"/>
          <w:szCs w:val="22"/>
        </w:rPr>
        <w:t xml:space="preserve"> permanent prescription drug disposal locations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have been established throughout the state.</w:t>
      </w:r>
    </w:p>
    <w:p w14:paraId="7048E40C" w14:textId="2EA1CE3E" w:rsidR="00AA70C1" w:rsidRDefault="00AA70C1" w:rsidP="00AA70C1">
      <w:pPr>
        <w:pStyle w:val="ListParagraph"/>
        <w:numPr>
          <w:ilvl w:val="0"/>
          <w:numId w:val="16"/>
        </w:numPr>
        <w:adjustRightInd w:val="0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 xml:space="preserve">A total of </w:t>
      </w:r>
      <w:r w:rsidR="006E1E71" w:rsidRPr="00045582">
        <w:rPr>
          <w:rFonts w:asciiTheme="minorHAnsi" w:hAnsiTheme="minorHAnsi"/>
          <w:b/>
          <w:bCs/>
          <w:color w:val="000000"/>
          <w:sz w:val="22"/>
          <w:szCs w:val="22"/>
        </w:rPr>
        <w:t>5</w:t>
      </w:r>
      <w:r w:rsidRPr="00045582">
        <w:rPr>
          <w:rFonts w:asciiTheme="minorHAnsi" w:hAnsiTheme="minorHAnsi"/>
          <w:b/>
          <w:bCs/>
          <w:color w:val="000000"/>
          <w:sz w:val="22"/>
          <w:szCs w:val="22"/>
        </w:rPr>
        <w:t xml:space="preserve"> new town-level policies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have been established related to improving the health and safety of the community by reducing youth exposure to public alcohol, tobacco and marijuana use.</w:t>
      </w:r>
      <w:r w:rsidR="0072025C" w:rsidRPr="0072025C">
        <w:rPr>
          <w:noProof/>
        </w:rPr>
        <w:t xml:space="preserve"> </w:t>
      </w:r>
    </w:p>
    <w:p w14:paraId="2F0AEEDC" w14:textId="74517257" w:rsidR="00EE02FD" w:rsidRPr="00EE02FD" w:rsidRDefault="00AA70C1" w:rsidP="00EE02FD">
      <w:pPr>
        <w:pStyle w:val="ListParagraph"/>
        <w:numPr>
          <w:ilvl w:val="0"/>
          <w:numId w:val="16"/>
        </w:numPr>
        <w:adjustRightInd w:val="0"/>
        <w:spacing w:after="40"/>
        <w:rPr>
          <w:rFonts w:asciiTheme="minorHAnsi" w:hAnsiTheme="minorHAnsi"/>
          <w:b/>
          <w:color w:val="000000"/>
          <w:sz w:val="22"/>
          <w:szCs w:val="22"/>
        </w:rPr>
      </w:pPr>
      <w:r w:rsidRPr="00EE02FD">
        <w:rPr>
          <w:rFonts w:asciiTheme="minorHAnsi" w:hAnsiTheme="minorHAnsi"/>
          <w:bCs/>
          <w:color w:val="000000"/>
          <w:sz w:val="22"/>
          <w:szCs w:val="22"/>
        </w:rPr>
        <w:t xml:space="preserve">Grantees have been </w:t>
      </w:r>
      <w:r w:rsidR="00EE02FD">
        <w:rPr>
          <w:rFonts w:asciiTheme="minorHAnsi" w:hAnsiTheme="minorHAnsi"/>
          <w:bCs/>
          <w:color w:val="000000"/>
          <w:sz w:val="22"/>
          <w:szCs w:val="22"/>
        </w:rPr>
        <w:t xml:space="preserve">getting the word out about safe disposal options for unused prescription medications. </w:t>
      </w:r>
    </w:p>
    <w:p w14:paraId="043B7086" w14:textId="77777777" w:rsidR="00EE02FD" w:rsidRPr="00EE02FD" w:rsidRDefault="00EE02FD" w:rsidP="00EE02FD">
      <w:pPr>
        <w:pStyle w:val="ListParagraph"/>
        <w:adjustRightInd w:val="0"/>
        <w:spacing w:after="40"/>
        <w:rPr>
          <w:rFonts w:asciiTheme="minorHAnsi" w:hAnsiTheme="minorHAnsi"/>
          <w:b/>
          <w:color w:val="000000"/>
          <w:sz w:val="22"/>
          <w:szCs w:val="22"/>
        </w:rPr>
      </w:pPr>
    </w:p>
    <w:p w14:paraId="21250256" w14:textId="77777777" w:rsidR="002E082A" w:rsidRDefault="0073664A" w:rsidP="0073664A">
      <w:pPr>
        <w:adjustRightInd w:val="0"/>
        <w:spacing w:after="40"/>
        <w:rPr>
          <w:rFonts w:asciiTheme="minorHAnsi" w:hAnsiTheme="minorHAnsi"/>
          <w:b/>
          <w:color w:val="000000"/>
          <w:sz w:val="22"/>
          <w:szCs w:val="22"/>
        </w:rPr>
      </w:pPr>
      <w:r w:rsidRPr="00EE11C3">
        <w:rPr>
          <w:rFonts w:asciiTheme="minorHAnsi" w:hAnsiTheme="minorHAnsi"/>
          <w:b/>
          <w:color w:val="000000"/>
          <w:sz w:val="22"/>
          <w:szCs w:val="22"/>
        </w:rPr>
        <w:t xml:space="preserve">Selected </w:t>
      </w:r>
      <w:r>
        <w:rPr>
          <w:rFonts w:asciiTheme="minorHAnsi" w:hAnsiTheme="minorHAnsi"/>
          <w:b/>
          <w:color w:val="000000"/>
          <w:sz w:val="22"/>
          <w:szCs w:val="22"/>
        </w:rPr>
        <w:t>S</w:t>
      </w:r>
      <w:r w:rsidRPr="00EE11C3">
        <w:rPr>
          <w:rFonts w:asciiTheme="minorHAnsi" w:hAnsiTheme="minorHAnsi"/>
          <w:b/>
          <w:color w:val="000000"/>
          <w:sz w:val="22"/>
          <w:szCs w:val="22"/>
        </w:rPr>
        <w:t xml:space="preserve">uccess </w:t>
      </w:r>
      <w:r>
        <w:rPr>
          <w:rFonts w:asciiTheme="minorHAnsi" w:hAnsiTheme="minorHAnsi"/>
          <w:b/>
          <w:color w:val="000000"/>
          <w:sz w:val="22"/>
          <w:szCs w:val="22"/>
        </w:rPr>
        <w:t>S</w:t>
      </w:r>
      <w:r w:rsidRPr="00EE11C3">
        <w:rPr>
          <w:rFonts w:asciiTheme="minorHAnsi" w:hAnsiTheme="minorHAnsi"/>
          <w:b/>
          <w:color w:val="000000"/>
          <w:sz w:val="22"/>
          <w:szCs w:val="22"/>
        </w:rPr>
        <w:t>tories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Reported by Grantees: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780"/>
      </w:tblGrid>
      <w:tr w:rsidR="0073664A" w:rsidRPr="00D53F47" w14:paraId="292720FF" w14:textId="77777777" w:rsidTr="00E468C3">
        <w:trPr>
          <w:trHeight w:val="185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EC351" w14:textId="77777777" w:rsidR="0073664A" w:rsidRDefault="003E4C4B" w:rsidP="00E468C3">
            <w:pPr>
              <w:spacing w:line="276" w:lineRule="auto"/>
              <w:rPr>
                <w:rFonts w:asciiTheme="minorHAnsi" w:hAnsiTheme="minorHAnsi" w:cs="Arial"/>
                <w:i/>
                <w:sz w:val="22"/>
                <w:szCs w:val="22"/>
                <w:lang w:bidi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kern w:val="24"/>
                <w:sz w:val="22"/>
                <w:szCs w:val="20"/>
              </w:rPr>
              <w:t>Community Outreach on the Prevention of Prescription Drug Misuse</w:t>
            </w:r>
            <w:r w:rsidR="0073664A" w:rsidRPr="0073664A">
              <w:rPr>
                <w:rFonts w:ascii="Calibri" w:eastAsia="Times New Roman" w:hAnsi="Calibri" w:cs="Arial"/>
                <w:b/>
                <w:color w:val="000000"/>
                <w:kern w:val="24"/>
                <w:sz w:val="22"/>
                <w:szCs w:val="20"/>
              </w:rPr>
              <w:br/>
            </w:r>
            <w:r w:rsidR="0073664A" w:rsidRPr="0090714F">
              <w:rPr>
                <w:rFonts w:ascii="Calibri" w:eastAsia="Times New Roman" w:hAnsi="Calibri" w:cs="Arial"/>
                <w:i/>
                <w:color w:val="000000"/>
                <w:kern w:val="24"/>
                <w:sz w:val="22"/>
                <w:szCs w:val="20"/>
              </w:rPr>
              <w:t>“</w:t>
            </w:r>
            <w:r w:rsidRPr="0090714F">
              <w:rPr>
                <w:rFonts w:ascii="Calibri" w:eastAsia="Calibri" w:hAnsi="Calibri" w:cs="Calibri"/>
                <w:i/>
                <w:sz w:val="22"/>
                <w:szCs w:val="22"/>
                <w:lang w:bidi="en-US"/>
              </w:rPr>
              <w:t xml:space="preserve">Every [pediatrician’s] office has posters on local </w:t>
            </w:r>
            <w:proofErr w:type="spellStart"/>
            <w:r w:rsidRPr="0090714F">
              <w:rPr>
                <w:rFonts w:ascii="Calibri" w:eastAsia="Calibri" w:hAnsi="Calibri" w:cs="Calibri"/>
                <w:i/>
                <w:sz w:val="22"/>
                <w:szCs w:val="22"/>
                <w:lang w:bidi="en-US"/>
              </w:rPr>
              <w:t>rx</w:t>
            </w:r>
            <w:proofErr w:type="spellEnd"/>
            <w:r w:rsidRPr="0090714F">
              <w:rPr>
                <w:rFonts w:ascii="Calibri" w:eastAsia="Calibri" w:hAnsi="Calibri" w:cs="Calibri"/>
                <w:i/>
                <w:sz w:val="22"/>
                <w:szCs w:val="22"/>
                <w:lang w:bidi="en-US"/>
              </w:rPr>
              <w:t xml:space="preserve"> safety and disposal, cards on what to ask your doctor when receiving a prescription, and </w:t>
            </w:r>
            <w:proofErr w:type="spellStart"/>
            <w:r w:rsidRPr="0090714F">
              <w:rPr>
                <w:rFonts w:ascii="Calibri" w:eastAsia="Calibri" w:hAnsi="Calibri" w:cs="Calibri"/>
                <w:i/>
                <w:sz w:val="22"/>
                <w:szCs w:val="22"/>
                <w:lang w:bidi="en-US"/>
              </w:rPr>
              <w:t>rx</w:t>
            </w:r>
            <w:proofErr w:type="spellEnd"/>
            <w:r w:rsidRPr="0090714F">
              <w:rPr>
                <w:rFonts w:ascii="Calibri" w:eastAsia="Calibri" w:hAnsi="Calibri" w:cs="Calibri"/>
                <w:i/>
                <w:sz w:val="22"/>
                <w:szCs w:val="22"/>
                <w:lang w:bidi="en-US"/>
              </w:rPr>
              <w:t xml:space="preserve"> safety rack cards. Every family has the opportunity to learn more</w:t>
            </w:r>
            <w:r w:rsidR="0073664A" w:rsidRPr="0090714F">
              <w:rPr>
                <w:rFonts w:asciiTheme="minorHAnsi" w:hAnsiTheme="minorHAnsi" w:cs="Arial"/>
                <w:i/>
                <w:sz w:val="22"/>
                <w:szCs w:val="22"/>
                <w:lang w:bidi="en-US"/>
              </w:rPr>
              <w:t>.”</w:t>
            </w:r>
          </w:p>
          <w:p w14:paraId="0C57C8CE" w14:textId="77777777" w:rsidR="0038516A" w:rsidRDefault="0038516A" w:rsidP="00E468C3">
            <w:pPr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  <w:lang w:bidi="en-US"/>
              </w:rPr>
            </w:pPr>
          </w:p>
          <w:p w14:paraId="1EBF3A2A" w14:textId="77777777" w:rsidR="002E07C2" w:rsidRPr="002E07C2" w:rsidRDefault="002E07C2" w:rsidP="00E468C3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bidi="en-US"/>
              </w:rPr>
              <w:t>“</w:t>
            </w:r>
            <w:r w:rsidRPr="002E07C2">
              <w:rPr>
                <w:rFonts w:ascii="Calibri" w:eastAsia="Calibri" w:hAnsi="Calibri" w:cs="Calibri"/>
                <w:i/>
                <w:sz w:val="22"/>
                <w:szCs w:val="22"/>
                <w:lang w:bidi="en-US"/>
              </w:rPr>
              <w:t>The RPP group was able to create new relationships with non-traditional partners such as local retirement communities with the plan to hold a community gathering about drug take back information.</w:t>
            </w:r>
            <w:r w:rsidR="0038516A">
              <w:rPr>
                <w:rFonts w:ascii="Calibri" w:eastAsia="Calibri" w:hAnsi="Calibri" w:cs="Calibri"/>
                <w:i/>
                <w:sz w:val="22"/>
                <w:szCs w:val="22"/>
                <w:lang w:bidi="en-US"/>
              </w:rPr>
              <w:t>”</w:t>
            </w:r>
          </w:p>
        </w:tc>
      </w:tr>
      <w:tr w:rsidR="0073664A" w:rsidRPr="00D53F47" w14:paraId="0FA76B47" w14:textId="77777777" w:rsidTr="00E468C3">
        <w:trPr>
          <w:trHeight w:val="77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991E7" w14:textId="77777777" w:rsidR="0073664A" w:rsidRPr="0073664A" w:rsidRDefault="0073664A" w:rsidP="001F73BA">
            <w:pPr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73664A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Local Policy Enhancements</w:t>
            </w:r>
          </w:p>
          <w:p w14:paraId="1ECF3EC2" w14:textId="77777777" w:rsidR="0073664A" w:rsidRPr="0073664A" w:rsidRDefault="0073664A" w:rsidP="00E468C3">
            <w:pPr>
              <w:spacing w:line="276" w:lineRule="auto"/>
              <w:rPr>
                <w:rFonts w:ascii="Arial" w:eastAsia="Times New Roman" w:hAnsi="Arial" w:cs="Arial"/>
                <w:sz w:val="22"/>
                <w:szCs w:val="20"/>
              </w:rPr>
            </w:pPr>
            <w:r w:rsidRPr="0073664A">
              <w:rPr>
                <w:rFonts w:asciiTheme="minorHAnsi" w:eastAsia="Times New Roman" w:hAnsiTheme="minorHAnsi" w:cs="Arial"/>
                <w:sz w:val="22"/>
                <w:szCs w:val="22"/>
              </w:rPr>
              <w:t>“</w:t>
            </w:r>
            <w:r w:rsidR="0060237E">
              <w:rPr>
                <w:rFonts w:ascii="Calibri" w:eastAsia="Calibri" w:hAnsi="Calibri" w:cs="Calibri"/>
                <w:i/>
                <w:sz w:val="22"/>
                <w:szCs w:val="22"/>
                <w:lang w:bidi="en-US"/>
              </w:rPr>
              <w:t>[Mount Ascutney Prevention Partnership]</w:t>
            </w:r>
            <w:r w:rsidR="0038516A" w:rsidRPr="0038516A">
              <w:rPr>
                <w:rFonts w:ascii="Calibri" w:eastAsia="Calibri" w:hAnsi="Calibri" w:cs="Calibri"/>
                <w:i/>
                <w:sz w:val="22"/>
                <w:szCs w:val="22"/>
                <w:lang w:bidi="en-US"/>
              </w:rPr>
              <w:t xml:space="preserve"> was invited to present at the Windsor Select Board on 1/23 related to substance misuse prevention policy best practices. While the presentation was primarily geared toward </w:t>
            </w:r>
            <w:r w:rsidR="0060237E">
              <w:rPr>
                <w:rFonts w:ascii="Calibri" w:eastAsia="Calibri" w:hAnsi="Calibri" w:cs="Calibri"/>
                <w:i/>
                <w:sz w:val="22"/>
                <w:szCs w:val="22"/>
                <w:lang w:bidi="en-US"/>
              </w:rPr>
              <w:t>[marijuana]</w:t>
            </w:r>
            <w:r w:rsidR="0038516A" w:rsidRPr="0038516A">
              <w:rPr>
                <w:rFonts w:ascii="Calibri" w:eastAsia="Calibri" w:hAnsi="Calibri" w:cs="Calibri"/>
                <w:i/>
                <w:sz w:val="22"/>
                <w:szCs w:val="22"/>
                <w:lang w:bidi="en-US"/>
              </w:rPr>
              <w:t xml:space="preserve"> (as that is the state legislative topic currently), alcohol policies and practices were highlighted as being the evidence base and </w:t>
            </w:r>
            <w:r w:rsidR="0060237E">
              <w:rPr>
                <w:rFonts w:ascii="Calibri" w:eastAsia="Calibri" w:hAnsi="Calibri" w:cs="Calibri"/>
                <w:i/>
                <w:sz w:val="22"/>
                <w:szCs w:val="22"/>
                <w:lang w:bidi="en-US"/>
              </w:rPr>
              <w:t>‘</w:t>
            </w:r>
            <w:r w:rsidR="0038516A" w:rsidRPr="0038516A">
              <w:rPr>
                <w:rFonts w:ascii="Calibri" w:eastAsia="Calibri" w:hAnsi="Calibri" w:cs="Calibri"/>
                <w:i/>
                <w:sz w:val="22"/>
                <w:szCs w:val="22"/>
                <w:lang w:bidi="en-US"/>
              </w:rPr>
              <w:t>lessons learned</w:t>
            </w:r>
            <w:r w:rsidR="0060237E">
              <w:rPr>
                <w:rFonts w:ascii="Calibri" w:eastAsia="Calibri" w:hAnsi="Calibri" w:cs="Calibri"/>
                <w:i/>
                <w:sz w:val="22"/>
                <w:szCs w:val="22"/>
                <w:lang w:bidi="en-US"/>
              </w:rPr>
              <w:t>’</w:t>
            </w:r>
            <w:r w:rsidR="0038516A" w:rsidRPr="0038516A">
              <w:rPr>
                <w:rFonts w:ascii="Calibri" w:eastAsia="Calibri" w:hAnsi="Calibri" w:cs="Calibri"/>
                <w:i/>
                <w:sz w:val="22"/>
                <w:szCs w:val="22"/>
                <w:lang w:bidi="en-US"/>
              </w:rPr>
              <w:t xml:space="preserve"> for marijuana policy.</w:t>
            </w:r>
            <w:r w:rsidR="0038516A">
              <w:rPr>
                <w:rFonts w:ascii="Calibri" w:eastAsia="Calibri" w:hAnsi="Calibri" w:cs="Calibri"/>
                <w:i/>
                <w:sz w:val="22"/>
                <w:szCs w:val="22"/>
                <w:lang w:bidi="en-US"/>
              </w:rPr>
              <w:t>”</w:t>
            </w:r>
          </w:p>
        </w:tc>
      </w:tr>
      <w:tr w:rsidR="002E07C2" w:rsidRPr="00D53F47" w14:paraId="447F4C1F" w14:textId="77777777" w:rsidTr="007539F2">
        <w:trPr>
          <w:trHeight w:val="115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CB2B42" w14:textId="77777777" w:rsidR="002E07C2" w:rsidRDefault="002E07C2" w:rsidP="001F73BA">
            <w:pPr>
              <w:adjustRightInd w:val="0"/>
              <w:spacing w:after="4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Permanent Prescription Drug Disposal Locations</w:t>
            </w:r>
          </w:p>
          <w:p w14:paraId="214739C0" w14:textId="77777777" w:rsidR="002E07C2" w:rsidRPr="002E07C2" w:rsidRDefault="002E07C2" w:rsidP="001F73BA">
            <w:pPr>
              <w:adjustRightInd w:val="0"/>
              <w:spacing w:after="40"/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bidi="en-US"/>
              </w:rPr>
              <w:t>“</w:t>
            </w:r>
            <w:r w:rsidRPr="002E07C2">
              <w:rPr>
                <w:rFonts w:ascii="Calibri" w:eastAsia="Calibri" w:hAnsi="Calibri" w:cs="Calibri"/>
                <w:i/>
                <w:sz w:val="22"/>
                <w:szCs w:val="22"/>
                <w:lang w:bidi="en-US"/>
              </w:rPr>
              <w:t xml:space="preserve">101 lbs. in the first 6 weeks since installation of new drop box at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bidi="en-US"/>
              </w:rPr>
              <w:t>Southern Vermont Medical Center</w:t>
            </w:r>
            <w:r w:rsidRPr="002E07C2">
              <w:rPr>
                <w:rFonts w:ascii="Calibri" w:eastAsia="Calibri" w:hAnsi="Calibri" w:cs="Calibri"/>
                <w:i/>
                <w:sz w:val="22"/>
                <w:szCs w:val="22"/>
                <w:lang w:bidi="en-US"/>
              </w:rPr>
              <w:t xml:space="preserve"> indicates that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bidi="en-US"/>
              </w:rPr>
              <w:t xml:space="preserve">an </w:t>
            </w:r>
            <w:r w:rsidRPr="002E07C2">
              <w:rPr>
                <w:rFonts w:ascii="Calibri" w:eastAsia="Calibri" w:hAnsi="Calibri" w:cs="Calibri"/>
                <w:i/>
                <w:sz w:val="22"/>
                <w:szCs w:val="22"/>
                <w:lang w:bidi="en-US"/>
              </w:rPr>
              <w:t>alternative to law enforcement Rx collection was needed in our community.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bidi="en-US"/>
              </w:rPr>
              <w:t>”</w:t>
            </w:r>
          </w:p>
        </w:tc>
      </w:tr>
      <w:tr w:rsidR="002E07C2" w:rsidRPr="00D53F47" w14:paraId="59CC6EAF" w14:textId="77777777" w:rsidTr="0060237E">
        <w:trPr>
          <w:trHeight w:val="149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982524" w14:textId="77777777" w:rsidR="002E07C2" w:rsidRDefault="002E07C2" w:rsidP="001F73BA">
            <w:pPr>
              <w:adjustRightInd w:val="0"/>
              <w:spacing w:after="4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Youth Engagement and School-base Prevention</w:t>
            </w:r>
          </w:p>
          <w:p w14:paraId="5D327F66" w14:textId="5657F9D0" w:rsidR="0038516A" w:rsidRDefault="002E07C2" w:rsidP="007539F2">
            <w:pPr>
              <w:adjustRightInd w:val="0"/>
              <w:spacing w:after="40"/>
              <w:rPr>
                <w:rFonts w:ascii="Calibri" w:eastAsia="Calibri" w:hAnsi="Calibri" w:cs="Calibri"/>
                <w:i/>
                <w:sz w:val="22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bidi="en-US"/>
              </w:rPr>
              <w:t>“</w:t>
            </w:r>
            <w:r w:rsidRPr="002E07C2">
              <w:rPr>
                <w:rFonts w:ascii="Calibri" w:eastAsia="Calibri" w:hAnsi="Calibri" w:cs="Calibri"/>
                <w:i/>
                <w:sz w:val="22"/>
                <w:szCs w:val="22"/>
                <w:lang w:bidi="en-US"/>
              </w:rPr>
              <w:t>Successes during the last quarter have resulted from outreach to schools.  These successes have included strengthening relationships and increasing the capacity to deliver quality, evidenced based programming.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bidi="en-US"/>
              </w:rPr>
              <w:t>”</w:t>
            </w:r>
          </w:p>
          <w:p w14:paraId="081777B5" w14:textId="77777777" w:rsidR="007539F2" w:rsidRDefault="007539F2" w:rsidP="007539F2">
            <w:pPr>
              <w:adjustRightInd w:val="0"/>
              <w:spacing w:after="40"/>
              <w:rPr>
                <w:rFonts w:ascii="Calibri" w:eastAsia="Calibri" w:hAnsi="Calibri" w:cs="Calibri"/>
                <w:i/>
                <w:sz w:val="22"/>
                <w:szCs w:val="22"/>
                <w:lang w:bidi="en-US"/>
              </w:rPr>
            </w:pPr>
          </w:p>
          <w:p w14:paraId="48C8C8CE" w14:textId="439C81BA" w:rsidR="007539F2" w:rsidRPr="007539F2" w:rsidRDefault="007539F2" w:rsidP="007539F2">
            <w:pPr>
              <w:adjustRightInd w:val="0"/>
              <w:spacing w:after="40"/>
              <w:rPr>
                <w:rFonts w:ascii="Calibri" w:eastAsia="Calibri" w:hAnsi="Calibri" w:cs="Calibri"/>
                <w:i/>
                <w:sz w:val="22"/>
                <w:szCs w:val="22"/>
                <w:lang w:bidi="en-US"/>
              </w:rPr>
            </w:pPr>
            <w:r w:rsidRPr="0038516A">
              <w:rPr>
                <w:rFonts w:ascii="Calibri" w:eastAsia="Calibri" w:hAnsi="Calibri" w:cs="Calibri"/>
                <w:i/>
                <w:sz w:val="22"/>
                <w:szCs w:val="22"/>
                <w:lang w:bidi="en-US"/>
              </w:rPr>
              <w:t xml:space="preserve">“We are really excited to be working on concrete ways of increasing staff capacity and cultural competence for supporting students who identify as LGBTQ+ in the Champlain Valley School District.  The opportunity to educate a captive audience of the realities of substance use for this </w:t>
            </w:r>
            <w:proofErr w:type="gramStart"/>
            <w:r w:rsidRPr="0038516A">
              <w:rPr>
                <w:rFonts w:ascii="Calibri" w:eastAsia="Calibri" w:hAnsi="Calibri" w:cs="Calibri"/>
                <w:i/>
                <w:sz w:val="22"/>
                <w:szCs w:val="22"/>
                <w:lang w:bidi="en-US"/>
              </w:rPr>
              <w:t>high risk</w:t>
            </w:r>
            <w:proofErr w:type="gramEnd"/>
            <w:r w:rsidRPr="0038516A">
              <w:rPr>
                <w:rFonts w:ascii="Calibri" w:eastAsia="Calibri" w:hAnsi="Calibri" w:cs="Calibri"/>
                <w:i/>
                <w:sz w:val="22"/>
                <w:szCs w:val="22"/>
                <w:lang w:bidi="en-US"/>
              </w:rPr>
              <w:t xml:space="preserve"> population and create policy and procedural expectations has been a long time coming.”</w:t>
            </w:r>
          </w:p>
        </w:tc>
      </w:tr>
    </w:tbl>
    <w:p w14:paraId="4A2E8742" w14:textId="4E089EA7" w:rsidR="00D25225" w:rsidRPr="007B56D0" w:rsidRDefault="00D25225" w:rsidP="00D25225">
      <w:pPr>
        <w:adjustRightInd w:val="0"/>
        <w:spacing w:after="40"/>
        <w:jc w:val="right"/>
        <w:rPr>
          <w:rFonts w:asciiTheme="minorHAnsi" w:hAnsiTheme="minorHAnsi"/>
          <w:bCs/>
          <w:color w:val="000000"/>
          <w:sz w:val="16"/>
          <w:szCs w:val="16"/>
        </w:rPr>
      </w:pPr>
      <w:r w:rsidRPr="007B56D0">
        <w:rPr>
          <w:rFonts w:asciiTheme="minorHAnsi" w:hAnsiTheme="minorHAnsi"/>
          <w:bCs/>
          <w:color w:val="000000"/>
          <w:sz w:val="16"/>
          <w:szCs w:val="16"/>
        </w:rPr>
        <w:t xml:space="preserve">V. </w:t>
      </w:r>
      <w:r w:rsidR="00B056C2">
        <w:rPr>
          <w:rFonts w:asciiTheme="minorHAnsi" w:hAnsiTheme="minorHAnsi"/>
          <w:bCs/>
          <w:color w:val="000000"/>
          <w:sz w:val="16"/>
          <w:szCs w:val="16"/>
        </w:rPr>
        <w:t>1</w:t>
      </w:r>
      <w:r w:rsidR="00F36403">
        <w:rPr>
          <w:rFonts w:asciiTheme="minorHAnsi" w:hAnsiTheme="minorHAnsi"/>
          <w:bCs/>
          <w:color w:val="000000"/>
          <w:sz w:val="16"/>
          <w:szCs w:val="16"/>
        </w:rPr>
        <w:t>1</w:t>
      </w:r>
      <w:r w:rsidRPr="007B56D0">
        <w:rPr>
          <w:rFonts w:asciiTheme="minorHAnsi" w:hAnsiTheme="minorHAnsi"/>
          <w:bCs/>
          <w:color w:val="000000"/>
          <w:sz w:val="16"/>
          <w:szCs w:val="16"/>
        </w:rPr>
        <w:t>/201</w:t>
      </w:r>
      <w:r w:rsidR="007539F2">
        <w:rPr>
          <w:rFonts w:asciiTheme="minorHAnsi" w:hAnsiTheme="minorHAnsi"/>
          <w:bCs/>
          <w:color w:val="000000"/>
          <w:sz w:val="16"/>
          <w:szCs w:val="16"/>
        </w:rPr>
        <w:t>8</w:t>
      </w:r>
    </w:p>
    <w:sectPr w:rsidR="00D25225" w:rsidRPr="007B56D0" w:rsidSect="00CF7A06">
      <w:type w:val="continuous"/>
      <w:pgSz w:w="12240" w:h="15840"/>
      <w:pgMar w:top="720" w:right="720" w:bottom="720" w:left="720" w:header="504" w:footer="720" w:gutter="0"/>
      <w:cols w:space="28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E9E4F" w14:textId="77777777" w:rsidR="00710339" w:rsidRDefault="00710339">
      <w:r>
        <w:separator/>
      </w:r>
    </w:p>
  </w:endnote>
  <w:endnote w:type="continuationSeparator" w:id="0">
    <w:p w14:paraId="2A6A4F75" w14:textId="77777777" w:rsidR="00710339" w:rsidRDefault="0071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55B07" w14:textId="77777777" w:rsidR="00710339" w:rsidRDefault="00710339" w:rsidP="003079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D1EEA3" w14:textId="77777777" w:rsidR="00710339" w:rsidRDefault="00710339" w:rsidP="003079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456A8" w14:textId="77777777" w:rsidR="00710339" w:rsidRDefault="00710339" w:rsidP="00AA4AAC">
    <w:pPr>
      <w:pStyle w:val="Footer"/>
      <w:tabs>
        <w:tab w:val="left" w:pos="12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492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E4075CD" wp14:editId="19F418B6">
              <wp:simplePos x="0" y="0"/>
              <wp:positionH relativeFrom="column">
                <wp:posOffset>-26035</wp:posOffset>
              </wp:positionH>
              <wp:positionV relativeFrom="paragraph">
                <wp:posOffset>-32385</wp:posOffset>
              </wp:positionV>
              <wp:extent cx="6858000" cy="228600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28600"/>
                      </a:xfrm>
                      <a:prstGeom prst="flowChartProcess">
                        <a:avLst/>
                      </a:prstGeom>
                      <a:solidFill>
                        <a:srgbClr val="007934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AE944" id="_x0000_t109" coordsize="21600,21600" o:spt="109" path="m,l,21600r21600,l21600,xe">
              <v:stroke joinstyle="miter"/>
              <v:path gradientshapeok="t" o:connecttype="rect"/>
            </v:shapetype>
            <v:shape id="AutoShape 3" o:spid="_x0000_s1026" type="#_x0000_t109" style="position:absolute;margin-left:-2.05pt;margin-top:-2.55pt;width:540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" fillcolor="#007934" stroked="f" strokecolor="#4a7ebb" strokeweight="1.5pt">
              <v:shadow opacity="22938f" offset="0"/>
              <v:textbox inset=",7.2pt,,7.2pt"/>
            </v:shape>
          </w:pict>
        </mc:Fallback>
      </mc:AlternateContent>
    </w:r>
    <w:r>
      <w:tab/>
    </w:r>
    <w:r>
      <w:tab/>
      <w:t xml:space="preserve">           </w:t>
    </w:r>
    <w:r w:rsidRPr="00F17018">
      <w:rPr>
        <w:rFonts w:ascii="Arial" w:hAnsi="Arial"/>
        <w:color w:val="FFFFFF"/>
        <w:sz w:val="20"/>
      </w:rPr>
      <w:t>108 Cherry Street • PO Box 70 • Burlington, VT 05402 • HealthVermont.gov</w:t>
    </w:r>
    <w:r>
      <w:rPr>
        <w:rFonts w:ascii="Arial" w:hAnsi="Arial"/>
        <w:color w:val="FFFFFF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4CB02" w14:textId="77777777" w:rsidR="00710339" w:rsidRDefault="00710339" w:rsidP="00307976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FA36754" wp14:editId="6ABFF654">
              <wp:simplePos x="0" y="0"/>
              <wp:positionH relativeFrom="column">
                <wp:posOffset>-228600</wp:posOffset>
              </wp:positionH>
              <wp:positionV relativeFrom="paragraph">
                <wp:posOffset>-83820</wp:posOffset>
              </wp:positionV>
              <wp:extent cx="6468745" cy="3810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874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10D37" w14:textId="77777777" w:rsidR="00710339" w:rsidRPr="00F17018" w:rsidRDefault="00710339" w:rsidP="00307976">
                          <w:pPr>
                            <w:jc w:val="center"/>
                            <w:rPr>
                              <w:rFonts w:ascii="Arial" w:hAnsi="Arial"/>
                              <w:color w:val="FFFFFF"/>
                              <w:sz w:val="20"/>
                            </w:rPr>
                          </w:pPr>
                          <w:r w:rsidRPr="00F17018">
                            <w:rPr>
                              <w:rFonts w:ascii="Arial" w:hAnsi="Arial"/>
                              <w:color w:val="FFFFFF"/>
                              <w:sz w:val="20"/>
                            </w:rPr>
                            <w:t>108 Cherry Street • PO Box 70 • Burlington, VT 05402 • HealthVermont.gov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3675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18pt;margin-top:-6.6pt;width:509.35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" filled="f" stroked="f">
              <v:textbox inset=",7.2pt,,7.2pt">
                <w:txbxContent>
                  <w:p w14:paraId="1A010D37" w14:textId="77777777" w:rsidR="00710339" w:rsidRPr="00F17018" w:rsidRDefault="00710339" w:rsidP="00307976">
                    <w:pPr>
                      <w:jc w:val="center"/>
                      <w:rPr>
                        <w:rFonts w:ascii="Arial" w:hAnsi="Arial"/>
                        <w:color w:val="FFFFFF"/>
                        <w:sz w:val="20"/>
                      </w:rPr>
                    </w:pPr>
                    <w:r w:rsidRPr="00F17018">
                      <w:rPr>
                        <w:rFonts w:ascii="Arial" w:hAnsi="Arial"/>
                        <w:color w:val="FFFFFF"/>
                        <w:sz w:val="20"/>
                      </w:rPr>
                      <w:t>108 Cherry Street • PO Box 70 • Burlington, VT 05402 • HealthVermont.gov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59D53F" wp14:editId="4E56BED5">
              <wp:simplePos x="0" y="0"/>
              <wp:positionH relativeFrom="column">
                <wp:posOffset>-359410</wp:posOffset>
              </wp:positionH>
              <wp:positionV relativeFrom="paragraph">
                <wp:posOffset>-24765</wp:posOffset>
              </wp:positionV>
              <wp:extent cx="6858000" cy="22860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28600"/>
                      </a:xfrm>
                      <a:prstGeom prst="flowChartProcess">
                        <a:avLst/>
                      </a:prstGeom>
                      <a:solidFill>
                        <a:srgbClr val="007934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30323" id="_x0000_t109" coordsize="21600,21600" o:spt="109" path="m,l,21600r21600,l21600,xe">
              <v:stroke joinstyle="miter"/>
              <v:path gradientshapeok="t" o:connecttype="rect"/>
            </v:shapetype>
            <v:shape id="AutoShape 2" o:spid="_x0000_s1026" type="#_x0000_t109" style="position:absolute;margin-left:-28.3pt;margin-top:-1.95pt;width:54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" fillcolor="#007934" stroked="f" strokecolor="#4a7ebb" strokeweight="1.5pt">
              <v:shadow opacity="22938f" offset="0"/>
              <v:textbox inset=",7.2pt,,7.2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EBA75" w14:textId="77777777" w:rsidR="00710339" w:rsidRDefault="00710339">
      <w:r>
        <w:separator/>
      </w:r>
    </w:p>
  </w:footnote>
  <w:footnote w:type="continuationSeparator" w:id="0">
    <w:p w14:paraId="5E5DA366" w14:textId="77777777" w:rsidR="00710339" w:rsidRDefault="00710339">
      <w:r>
        <w:continuationSeparator/>
      </w:r>
    </w:p>
  </w:footnote>
  <w:footnote w:id="1">
    <w:p w14:paraId="70E3CF43" w14:textId="77777777" w:rsidR="00710339" w:rsidRPr="00764816" w:rsidRDefault="00710339" w:rsidP="006031CD">
      <w:pPr>
        <w:pStyle w:val="FootnoteText"/>
        <w:rPr>
          <w:rFonts w:ascii="Calibri" w:hAnsi="Calibri"/>
        </w:rPr>
      </w:pPr>
      <w:r w:rsidRPr="00764816">
        <w:rPr>
          <w:rStyle w:val="FootnoteReference"/>
          <w:rFonts w:ascii="Calibri" w:hAnsi="Calibri"/>
        </w:rPr>
        <w:footnoteRef/>
      </w:r>
      <w:r w:rsidRPr="00764816">
        <w:rPr>
          <w:rFonts w:ascii="Calibri" w:hAnsi="Calibri"/>
        </w:rPr>
        <w:t xml:space="preserve"> This value is calculated using census data for all individuals age 12 and up in the towns reached by all active population-based</w:t>
      </w:r>
      <w:r>
        <w:rPr>
          <w:rFonts w:ascii="Calibri" w:hAnsi="Calibri"/>
        </w:rPr>
        <w:t xml:space="preserve"> interventions.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F3A71" w14:textId="06A2300F" w:rsidR="00710339" w:rsidRDefault="00710339" w:rsidP="00307976">
    <w:pPr>
      <w:pStyle w:val="Header"/>
      <w:ind w:left="-36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464AC6C" wp14:editId="65378ED0">
              <wp:simplePos x="0" y="0"/>
              <wp:positionH relativeFrom="column">
                <wp:posOffset>1363980</wp:posOffset>
              </wp:positionH>
              <wp:positionV relativeFrom="paragraph">
                <wp:posOffset>-38100</wp:posOffset>
              </wp:positionV>
              <wp:extent cx="5036820" cy="469265"/>
              <wp:effectExtent l="0" t="0" r="0" b="6985"/>
              <wp:wrapTight wrapText="bothSides">
                <wp:wrapPolygon edited="0">
                  <wp:start x="0" y="0"/>
                  <wp:lineTo x="0" y="21045"/>
                  <wp:lineTo x="21486" y="21045"/>
                  <wp:lineTo x="21486" y="0"/>
                  <wp:lineTo x="0" y="0"/>
                </wp:wrapPolygon>
              </wp:wrapTight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6820" cy="469265"/>
                      </a:xfrm>
                      <a:prstGeom prst="rect">
                        <a:avLst/>
                      </a:prstGeom>
                      <a:solidFill>
                        <a:srgbClr val="4E84C4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F59C9F1" w14:textId="15EC566E" w:rsidR="00710339" w:rsidRPr="00C13C3C" w:rsidRDefault="00710339" w:rsidP="006B12B1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8"/>
                            </w:rPr>
                            <w:t>Regional Prevention Partnerships (RPP) Grants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64AC6C" id="Rectangle 1" o:spid="_x0000_s1026" style="position:absolute;left:0;text-align:left;margin-left:107.4pt;margin-top:-3pt;width:396.6pt;height:36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" fillcolor="#4e84c4" stroked="f" strokecolor="#4a7ebb" strokeweight="1.5pt">
              <v:shadow opacity="22938f" offset="0"/>
              <v:textbox inset=",7.2pt,,7.2pt">
                <w:txbxContent>
                  <w:p w14:paraId="1F59C9F1" w14:textId="15EC566E" w:rsidR="00710339" w:rsidRPr="00C13C3C" w:rsidRDefault="00710339" w:rsidP="006B12B1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28"/>
                      </w:rPr>
                      <w:t>Regional Prevention Partnerships (RPP) Grants</w:t>
                    </w:r>
                  </w:p>
                </w:txbxContent>
              </v:textbox>
              <w10:wrap type="tight"/>
            </v:rect>
          </w:pict>
        </mc:Fallback>
      </mc:AlternateContent>
    </w:r>
    <w:r>
      <w:rPr>
        <w:noProof/>
      </w:rPr>
      <w:drawing>
        <wp:inline distT="0" distB="0" distL="0" distR="0" wp14:anchorId="1F6EAAC4" wp14:editId="7399D593">
          <wp:extent cx="1432560" cy="360680"/>
          <wp:effectExtent l="0" t="0" r="0" b="0"/>
          <wp:docPr id="6" name="Picture 0" descr="VDH green logo-20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VDH green logo-20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4AAD"/>
    <w:multiLevelType w:val="hybridMultilevel"/>
    <w:tmpl w:val="4B8E1D22"/>
    <w:lvl w:ilvl="0" w:tplc="1AA6B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04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40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8D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54E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309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B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E4D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A7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C46769"/>
    <w:multiLevelType w:val="hybridMultilevel"/>
    <w:tmpl w:val="0C3C95A8"/>
    <w:lvl w:ilvl="0" w:tplc="E4284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62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AF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CC3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84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C9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548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0A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2AE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D83024"/>
    <w:multiLevelType w:val="hybridMultilevel"/>
    <w:tmpl w:val="4230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32007"/>
    <w:multiLevelType w:val="hybridMultilevel"/>
    <w:tmpl w:val="AB661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352AF"/>
    <w:multiLevelType w:val="hybridMultilevel"/>
    <w:tmpl w:val="79A4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170D8"/>
    <w:multiLevelType w:val="hybridMultilevel"/>
    <w:tmpl w:val="AB78A11C"/>
    <w:lvl w:ilvl="0" w:tplc="595A5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28A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EAA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A1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29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EC9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4A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02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8A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58F309B"/>
    <w:multiLevelType w:val="hybridMultilevel"/>
    <w:tmpl w:val="EFD8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82156"/>
    <w:multiLevelType w:val="hybridMultilevel"/>
    <w:tmpl w:val="3D821344"/>
    <w:lvl w:ilvl="0" w:tplc="90A81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AA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528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4A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E8F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4F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18C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4A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EC8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568405A"/>
    <w:multiLevelType w:val="hybridMultilevel"/>
    <w:tmpl w:val="107CB25E"/>
    <w:lvl w:ilvl="0" w:tplc="54E2F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2E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CD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243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50B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D0A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E6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61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46A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5892778"/>
    <w:multiLevelType w:val="hybridMultilevel"/>
    <w:tmpl w:val="AF7E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92BF3"/>
    <w:multiLevelType w:val="hybridMultilevel"/>
    <w:tmpl w:val="98A6AD3A"/>
    <w:lvl w:ilvl="0" w:tplc="17881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D0A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261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28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AA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D07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4A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F00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A4D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C322606"/>
    <w:multiLevelType w:val="hybridMultilevel"/>
    <w:tmpl w:val="F666503A"/>
    <w:lvl w:ilvl="0" w:tplc="11B8F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4E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CC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87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C44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849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9CB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B63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546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AF7669F"/>
    <w:multiLevelType w:val="hybridMultilevel"/>
    <w:tmpl w:val="55F6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0167E"/>
    <w:multiLevelType w:val="hybridMultilevel"/>
    <w:tmpl w:val="ED625F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7428A5"/>
    <w:multiLevelType w:val="hybridMultilevel"/>
    <w:tmpl w:val="E000F47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782328DD"/>
    <w:multiLevelType w:val="hybridMultilevel"/>
    <w:tmpl w:val="C9265586"/>
    <w:lvl w:ilvl="0" w:tplc="7CC4D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18E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929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C9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986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EB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200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AEA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63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2"/>
  </w:num>
  <w:num w:numId="5">
    <w:abstractNumId w:val="5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8"/>
  </w:num>
  <w:num w:numId="11">
    <w:abstractNumId w:val="15"/>
  </w:num>
  <w:num w:numId="12">
    <w:abstractNumId w:val="7"/>
  </w:num>
  <w:num w:numId="13">
    <w:abstractNumId w:val="14"/>
  </w:num>
  <w:num w:numId="14">
    <w:abstractNumId w:val="9"/>
  </w:num>
  <w:num w:numId="15">
    <w:abstractNumId w:val="4"/>
  </w:num>
  <w:num w:numId="1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S:\Divisional Shares\ADAP\RPP Grant\FY2019\MasterMailMerge201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activeRecord w:val="-1"/>
    <w:odso>
      <w:udl w:val="Provider=Microsoft.ACE.OLEDB.12.0;User ID=Admin;Data Source=S:\Divisional Shares\ADAP\RPP Grant\FY2019\MasterMailMerge201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91">
      <o:colormru v:ext="edit" colors="#4e84c4,#0079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F69"/>
    <w:rsid w:val="00003126"/>
    <w:rsid w:val="00003A25"/>
    <w:rsid w:val="000102FE"/>
    <w:rsid w:val="00021DFC"/>
    <w:rsid w:val="000331B9"/>
    <w:rsid w:val="00045582"/>
    <w:rsid w:val="00055CAC"/>
    <w:rsid w:val="000578E1"/>
    <w:rsid w:val="00061144"/>
    <w:rsid w:val="0006257B"/>
    <w:rsid w:val="00066E0C"/>
    <w:rsid w:val="00080359"/>
    <w:rsid w:val="0008495F"/>
    <w:rsid w:val="000954BA"/>
    <w:rsid w:val="000B3972"/>
    <w:rsid w:val="000B5173"/>
    <w:rsid w:val="000C03E2"/>
    <w:rsid w:val="000C0EAE"/>
    <w:rsid w:val="000E2CED"/>
    <w:rsid w:val="000E3206"/>
    <w:rsid w:val="00104C49"/>
    <w:rsid w:val="00105E15"/>
    <w:rsid w:val="00110B9A"/>
    <w:rsid w:val="00111C4D"/>
    <w:rsid w:val="0012318B"/>
    <w:rsid w:val="00126839"/>
    <w:rsid w:val="001567DE"/>
    <w:rsid w:val="00166A9F"/>
    <w:rsid w:val="00166CF0"/>
    <w:rsid w:val="00173B77"/>
    <w:rsid w:val="00185A96"/>
    <w:rsid w:val="00186335"/>
    <w:rsid w:val="00186A71"/>
    <w:rsid w:val="00187CDD"/>
    <w:rsid w:val="00192D40"/>
    <w:rsid w:val="00193CBB"/>
    <w:rsid w:val="001D2B41"/>
    <w:rsid w:val="001D5992"/>
    <w:rsid w:val="001D6DB2"/>
    <w:rsid w:val="001F2097"/>
    <w:rsid w:val="001F73BA"/>
    <w:rsid w:val="0020700B"/>
    <w:rsid w:val="00210312"/>
    <w:rsid w:val="00212156"/>
    <w:rsid w:val="00227850"/>
    <w:rsid w:val="0023137E"/>
    <w:rsid w:val="0024265B"/>
    <w:rsid w:val="002473E9"/>
    <w:rsid w:val="00252550"/>
    <w:rsid w:val="00256918"/>
    <w:rsid w:val="00264178"/>
    <w:rsid w:val="00265B56"/>
    <w:rsid w:val="00275D1A"/>
    <w:rsid w:val="00292F87"/>
    <w:rsid w:val="00297CAB"/>
    <w:rsid w:val="002A4303"/>
    <w:rsid w:val="002A70BD"/>
    <w:rsid w:val="002B3AF2"/>
    <w:rsid w:val="002C501C"/>
    <w:rsid w:val="002C670B"/>
    <w:rsid w:val="002D1ACE"/>
    <w:rsid w:val="002D2904"/>
    <w:rsid w:val="002D4C70"/>
    <w:rsid w:val="002D7A50"/>
    <w:rsid w:val="002E07C2"/>
    <w:rsid w:val="002E082A"/>
    <w:rsid w:val="00307976"/>
    <w:rsid w:val="0032381C"/>
    <w:rsid w:val="00326E9F"/>
    <w:rsid w:val="00335BD0"/>
    <w:rsid w:val="00344071"/>
    <w:rsid w:val="00373A86"/>
    <w:rsid w:val="0038516A"/>
    <w:rsid w:val="00393551"/>
    <w:rsid w:val="003A3D1D"/>
    <w:rsid w:val="003B3C57"/>
    <w:rsid w:val="003B428D"/>
    <w:rsid w:val="003B7A84"/>
    <w:rsid w:val="003C2779"/>
    <w:rsid w:val="003C2CFF"/>
    <w:rsid w:val="003D1871"/>
    <w:rsid w:val="003D36CC"/>
    <w:rsid w:val="003E36D9"/>
    <w:rsid w:val="003E4C4B"/>
    <w:rsid w:val="003F24BC"/>
    <w:rsid w:val="004046A5"/>
    <w:rsid w:val="00407149"/>
    <w:rsid w:val="0041080C"/>
    <w:rsid w:val="00420893"/>
    <w:rsid w:val="00423DB0"/>
    <w:rsid w:val="00434A5C"/>
    <w:rsid w:val="004353AC"/>
    <w:rsid w:val="00435553"/>
    <w:rsid w:val="00436C91"/>
    <w:rsid w:val="00465000"/>
    <w:rsid w:val="004704B4"/>
    <w:rsid w:val="004A47C4"/>
    <w:rsid w:val="004A7637"/>
    <w:rsid w:val="004B0130"/>
    <w:rsid w:val="004B649C"/>
    <w:rsid w:val="004C73E1"/>
    <w:rsid w:val="004E0B74"/>
    <w:rsid w:val="004E255A"/>
    <w:rsid w:val="004F55F8"/>
    <w:rsid w:val="004F7229"/>
    <w:rsid w:val="004F7A46"/>
    <w:rsid w:val="00500F68"/>
    <w:rsid w:val="00503B85"/>
    <w:rsid w:val="005133A4"/>
    <w:rsid w:val="00544107"/>
    <w:rsid w:val="00544FFB"/>
    <w:rsid w:val="00555B06"/>
    <w:rsid w:val="00556DD3"/>
    <w:rsid w:val="00574D40"/>
    <w:rsid w:val="00593733"/>
    <w:rsid w:val="00596051"/>
    <w:rsid w:val="005A35FA"/>
    <w:rsid w:val="005A373D"/>
    <w:rsid w:val="005A6696"/>
    <w:rsid w:val="005B029E"/>
    <w:rsid w:val="005B1A99"/>
    <w:rsid w:val="005B2286"/>
    <w:rsid w:val="005B4769"/>
    <w:rsid w:val="005D19E2"/>
    <w:rsid w:val="005F4E6E"/>
    <w:rsid w:val="005F5529"/>
    <w:rsid w:val="0060237E"/>
    <w:rsid w:val="00602741"/>
    <w:rsid w:val="006031CD"/>
    <w:rsid w:val="0061135F"/>
    <w:rsid w:val="00621765"/>
    <w:rsid w:val="00630551"/>
    <w:rsid w:val="0063203D"/>
    <w:rsid w:val="00641584"/>
    <w:rsid w:val="00642D9F"/>
    <w:rsid w:val="0065488B"/>
    <w:rsid w:val="0065491E"/>
    <w:rsid w:val="0066072D"/>
    <w:rsid w:val="006758BB"/>
    <w:rsid w:val="00684714"/>
    <w:rsid w:val="0068644D"/>
    <w:rsid w:val="00687139"/>
    <w:rsid w:val="006970A4"/>
    <w:rsid w:val="006A457B"/>
    <w:rsid w:val="006B12B1"/>
    <w:rsid w:val="006B4C9B"/>
    <w:rsid w:val="006D53DD"/>
    <w:rsid w:val="006E1E71"/>
    <w:rsid w:val="006F44EB"/>
    <w:rsid w:val="00700DD4"/>
    <w:rsid w:val="00710339"/>
    <w:rsid w:val="007120B4"/>
    <w:rsid w:val="007123B6"/>
    <w:rsid w:val="0072025C"/>
    <w:rsid w:val="00725329"/>
    <w:rsid w:val="0073664A"/>
    <w:rsid w:val="007377FF"/>
    <w:rsid w:val="00744A2C"/>
    <w:rsid w:val="00751590"/>
    <w:rsid w:val="007539F2"/>
    <w:rsid w:val="0076295E"/>
    <w:rsid w:val="00762FA5"/>
    <w:rsid w:val="00764816"/>
    <w:rsid w:val="00780FA9"/>
    <w:rsid w:val="007A69AC"/>
    <w:rsid w:val="007B56D0"/>
    <w:rsid w:val="007C0F4A"/>
    <w:rsid w:val="007C1D03"/>
    <w:rsid w:val="007E019C"/>
    <w:rsid w:val="008121E4"/>
    <w:rsid w:val="00825350"/>
    <w:rsid w:val="0082569E"/>
    <w:rsid w:val="00833449"/>
    <w:rsid w:val="008353C1"/>
    <w:rsid w:val="008366DB"/>
    <w:rsid w:val="008438BC"/>
    <w:rsid w:val="008770FB"/>
    <w:rsid w:val="0088521F"/>
    <w:rsid w:val="008863C6"/>
    <w:rsid w:val="0089186F"/>
    <w:rsid w:val="008A5C36"/>
    <w:rsid w:val="008A700C"/>
    <w:rsid w:val="008C094D"/>
    <w:rsid w:val="008D4339"/>
    <w:rsid w:val="008D6FF2"/>
    <w:rsid w:val="008D7B96"/>
    <w:rsid w:val="008E0C7B"/>
    <w:rsid w:val="008E14E1"/>
    <w:rsid w:val="00904FEF"/>
    <w:rsid w:val="0090714F"/>
    <w:rsid w:val="0090777D"/>
    <w:rsid w:val="0091130A"/>
    <w:rsid w:val="00915849"/>
    <w:rsid w:val="00921178"/>
    <w:rsid w:val="009409F4"/>
    <w:rsid w:val="0094114D"/>
    <w:rsid w:val="0094537E"/>
    <w:rsid w:val="00956F1A"/>
    <w:rsid w:val="00961589"/>
    <w:rsid w:val="009641F0"/>
    <w:rsid w:val="009659CB"/>
    <w:rsid w:val="00980F2F"/>
    <w:rsid w:val="009865A2"/>
    <w:rsid w:val="00991F7A"/>
    <w:rsid w:val="009923B1"/>
    <w:rsid w:val="00994E80"/>
    <w:rsid w:val="009B091D"/>
    <w:rsid w:val="009B34FE"/>
    <w:rsid w:val="009B3AFD"/>
    <w:rsid w:val="009C7D31"/>
    <w:rsid w:val="009D24BA"/>
    <w:rsid w:val="009E2D91"/>
    <w:rsid w:val="00A00787"/>
    <w:rsid w:val="00A02756"/>
    <w:rsid w:val="00A152C9"/>
    <w:rsid w:val="00A21067"/>
    <w:rsid w:val="00A24B19"/>
    <w:rsid w:val="00A31E51"/>
    <w:rsid w:val="00A3401E"/>
    <w:rsid w:val="00A37BE2"/>
    <w:rsid w:val="00A61C17"/>
    <w:rsid w:val="00A63A19"/>
    <w:rsid w:val="00A824B5"/>
    <w:rsid w:val="00A907C8"/>
    <w:rsid w:val="00A94950"/>
    <w:rsid w:val="00AA22FA"/>
    <w:rsid w:val="00AA3F77"/>
    <w:rsid w:val="00AA4AAC"/>
    <w:rsid w:val="00AA51DC"/>
    <w:rsid w:val="00AA70C1"/>
    <w:rsid w:val="00AB2A08"/>
    <w:rsid w:val="00AB53CA"/>
    <w:rsid w:val="00AC037A"/>
    <w:rsid w:val="00AD333A"/>
    <w:rsid w:val="00AD7CAA"/>
    <w:rsid w:val="00AF760B"/>
    <w:rsid w:val="00B00118"/>
    <w:rsid w:val="00B04FCF"/>
    <w:rsid w:val="00B056C2"/>
    <w:rsid w:val="00B07252"/>
    <w:rsid w:val="00B13BB2"/>
    <w:rsid w:val="00B16CFA"/>
    <w:rsid w:val="00B21A24"/>
    <w:rsid w:val="00B225BD"/>
    <w:rsid w:val="00B24358"/>
    <w:rsid w:val="00B265F5"/>
    <w:rsid w:val="00B2777E"/>
    <w:rsid w:val="00B32C2F"/>
    <w:rsid w:val="00B336F6"/>
    <w:rsid w:val="00B47049"/>
    <w:rsid w:val="00B55658"/>
    <w:rsid w:val="00B57957"/>
    <w:rsid w:val="00B616E9"/>
    <w:rsid w:val="00B63CE9"/>
    <w:rsid w:val="00B73817"/>
    <w:rsid w:val="00B73AA5"/>
    <w:rsid w:val="00B75609"/>
    <w:rsid w:val="00B8646A"/>
    <w:rsid w:val="00B948DA"/>
    <w:rsid w:val="00B94EC0"/>
    <w:rsid w:val="00BB6598"/>
    <w:rsid w:val="00BC4950"/>
    <w:rsid w:val="00BD4D0C"/>
    <w:rsid w:val="00BF56EA"/>
    <w:rsid w:val="00BF75FA"/>
    <w:rsid w:val="00C0310E"/>
    <w:rsid w:val="00C10FC6"/>
    <w:rsid w:val="00C1377B"/>
    <w:rsid w:val="00C1384F"/>
    <w:rsid w:val="00C13C3C"/>
    <w:rsid w:val="00C16AD4"/>
    <w:rsid w:val="00C24DDD"/>
    <w:rsid w:val="00C2589C"/>
    <w:rsid w:val="00C33DB1"/>
    <w:rsid w:val="00C56DCE"/>
    <w:rsid w:val="00C6339B"/>
    <w:rsid w:val="00C7446C"/>
    <w:rsid w:val="00C75F7E"/>
    <w:rsid w:val="00C76EAC"/>
    <w:rsid w:val="00C82024"/>
    <w:rsid w:val="00C94861"/>
    <w:rsid w:val="00C96B77"/>
    <w:rsid w:val="00C97912"/>
    <w:rsid w:val="00CA12B0"/>
    <w:rsid w:val="00CA5D22"/>
    <w:rsid w:val="00CB07F0"/>
    <w:rsid w:val="00CB6CDB"/>
    <w:rsid w:val="00CC3DBF"/>
    <w:rsid w:val="00CD057E"/>
    <w:rsid w:val="00CD1F69"/>
    <w:rsid w:val="00CD1FBF"/>
    <w:rsid w:val="00CD31E1"/>
    <w:rsid w:val="00CD4DE7"/>
    <w:rsid w:val="00CF2E43"/>
    <w:rsid w:val="00CF4371"/>
    <w:rsid w:val="00CF7A06"/>
    <w:rsid w:val="00D035A4"/>
    <w:rsid w:val="00D140F7"/>
    <w:rsid w:val="00D20653"/>
    <w:rsid w:val="00D21A0C"/>
    <w:rsid w:val="00D25225"/>
    <w:rsid w:val="00D32754"/>
    <w:rsid w:val="00D43573"/>
    <w:rsid w:val="00D45DFC"/>
    <w:rsid w:val="00D53F47"/>
    <w:rsid w:val="00D55E3A"/>
    <w:rsid w:val="00D60D31"/>
    <w:rsid w:val="00D8468A"/>
    <w:rsid w:val="00D92786"/>
    <w:rsid w:val="00DB78E8"/>
    <w:rsid w:val="00DC003F"/>
    <w:rsid w:val="00DE4388"/>
    <w:rsid w:val="00DF4CAC"/>
    <w:rsid w:val="00DF5420"/>
    <w:rsid w:val="00E00022"/>
    <w:rsid w:val="00E02073"/>
    <w:rsid w:val="00E12BB2"/>
    <w:rsid w:val="00E22FAB"/>
    <w:rsid w:val="00E2428C"/>
    <w:rsid w:val="00E3376E"/>
    <w:rsid w:val="00E368AD"/>
    <w:rsid w:val="00E4025F"/>
    <w:rsid w:val="00E4344B"/>
    <w:rsid w:val="00E437C8"/>
    <w:rsid w:val="00E468C3"/>
    <w:rsid w:val="00E5468F"/>
    <w:rsid w:val="00E6343B"/>
    <w:rsid w:val="00E8012E"/>
    <w:rsid w:val="00E82E61"/>
    <w:rsid w:val="00E842AC"/>
    <w:rsid w:val="00E86DED"/>
    <w:rsid w:val="00E92503"/>
    <w:rsid w:val="00EA2B1B"/>
    <w:rsid w:val="00EA4956"/>
    <w:rsid w:val="00EB096A"/>
    <w:rsid w:val="00EB09C7"/>
    <w:rsid w:val="00EC4FAE"/>
    <w:rsid w:val="00EC6E4E"/>
    <w:rsid w:val="00EE02FD"/>
    <w:rsid w:val="00EE11C3"/>
    <w:rsid w:val="00EE2E17"/>
    <w:rsid w:val="00EF09FB"/>
    <w:rsid w:val="00EF5D4A"/>
    <w:rsid w:val="00F014F9"/>
    <w:rsid w:val="00F06076"/>
    <w:rsid w:val="00F1013F"/>
    <w:rsid w:val="00F1610E"/>
    <w:rsid w:val="00F21EF7"/>
    <w:rsid w:val="00F24BED"/>
    <w:rsid w:val="00F25643"/>
    <w:rsid w:val="00F33B4E"/>
    <w:rsid w:val="00F36403"/>
    <w:rsid w:val="00F46C00"/>
    <w:rsid w:val="00F576D2"/>
    <w:rsid w:val="00F60C62"/>
    <w:rsid w:val="00F648AB"/>
    <w:rsid w:val="00F71F50"/>
    <w:rsid w:val="00F77476"/>
    <w:rsid w:val="00F847BB"/>
    <w:rsid w:val="00F859F8"/>
    <w:rsid w:val="00F91292"/>
    <w:rsid w:val="00FA0E82"/>
    <w:rsid w:val="00FA6FCE"/>
    <w:rsid w:val="00FC0237"/>
    <w:rsid w:val="00FC6D28"/>
    <w:rsid w:val="00FD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>
      <o:colormru v:ext="edit" colors="#4e84c4,#007934"/>
    </o:shapedefaults>
    <o:shapelayout v:ext="edit">
      <o:idmap v:ext="edit" data="1"/>
    </o:shapelayout>
  </w:shapeDefaults>
  <w:decimalSymbol w:val="."/>
  <w:listSeparator w:val=","/>
  <w14:docId w14:val="176A1F10"/>
  <w15:docId w15:val="{0B451F8E-2440-4CA7-A36F-F66E80F2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9D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01E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F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F69"/>
  </w:style>
  <w:style w:type="paragraph" w:styleId="Footer">
    <w:name w:val="footer"/>
    <w:basedOn w:val="Normal"/>
    <w:link w:val="FooterChar"/>
    <w:uiPriority w:val="99"/>
    <w:unhideWhenUsed/>
    <w:rsid w:val="00CD1F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1F69"/>
  </w:style>
  <w:style w:type="paragraph" w:customStyle="1" w:styleId="NoParagraphStyle">
    <w:name w:val="[No Paragraph Style]"/>
    <w:rsid w:val="000000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00001E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EB7573"/>
  </w:style>
  <w:style w:type="paragraph" w:styleId="FootnoteText">
    <w:name w:val="footnote text"/>
    <w:basedOn w:val="Normal"/>
    <w:link w:val="FootnoteTextChar"/>
    <w:semiHidden/>
    <w:rsid w:val="00B948DA"/>
    <w:rPr>
      <w:rFonts w:eastAsia="Times New Roman" w:cs="Cambria"/>
      <w:sz w:val="20"/>
      <w:szCs w:val="20"/>
    </w:rPr>
  </w:style>
  <w:style w:type="paragraph" w:customStyle="1" w:styleId="BasicBodyText">
    <w:name w:val="Basic Body Text"/>
    <w:basedOn w:val="Normal"/>
    <w:qFormat/>
    <w:rsid w:val="007D56EF"/>
    <w:pPr>
      <w:widowControl w:val="0"/>
      <w:suppressAutoHyphens/>
      <w:autoSpaceDE w:val="0"/>
      <w:autoSpaceDN w:val="0"/>
      <w:adjustRightInd w:val="0"/>
      <w:spacing w:line="288" w:lineRule="auto"/>
      <w:textAlignment w:val="baseline"/>
    </w:pPr>
    <w:rPr>
      <w:rFonts w:ascii="Arial Narrow" w:hAnsi="Arial Narrow" w:cs="MyriadPro-Light"/>
      <w:color w:val="000000"/>
    </w:rPr>
  </w:style>
  <w:style w:type="paragraph" w:customStyle="1" w:styleId="BasicBodyText-Calibri">
    <w:name w:val="Basic Body Text -Calibri"/>
    <w:basedOn w:val="Normal"/>
    <w:qFormat/>
    <w:rsid w:val="0042180B"/>
    <w:rPr>
      <w:rFonts w:ascii="Calibri" w:hAnsi="Calibri"/>
      <w:sz w:val="22"/>
    </w:rPr>
  </w:style>
  <w:style w:type="character" w:customStyle="1" w:styleId="FootnoteTextChar">
    <w:name w:val="Footnote Text Char"/>
    <w:link w:val="FootnoteText"/>
    <w:semiHidden/>
    <w:locked/>
    <w:rsid w:val="00B948DA"/>
    <w:rPr>
      <w:rFonts w:ascii="Cambria" w:hAnsi="Cambria" w:cs="Cambria"/>
      <w:lang w:val="en-US" w:eastAsia="en-US" w:bidi="ar-SA"/>
    </w:rPr>
  </w:style>
  <w:style w:type="character" w:styleId="FootnoteReference">
    <w:name w:val="footnote reference"/>
    <w:semiHidden/>
    <w:rsid w:val="00B948D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7CAB"/>
    <w:pPr>
      <w:ind w:left="720"/>
      <w:contextualSpacing/>
    </w:pPr>
  </w:style>
  <w:style w:type="paragraph" w:customStyle="1" w:styleId="msolistparagraph0">
    <w:name w:val="msolistparagraph"/>
    <w:basedOn w:val="Normal"/>
    <w:rsid w:val="0072532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292F87"/>
    <w:rPr>
      <w:rFonts w:ascii="Calibri" w:eastAsiaTheme="minorHAnsi" w:hAnsi="Calibri" w:cs="Consolas"/>
      <w:color w:val="1F497D" w:themeColor="text2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2F87"/>
    <w:rPr>
      <w:rFonts w:ascii="Calibri" w:eastAsiaTheme="minorHAnsi" w:hAnsi="Calibri" w:cs="Consolas"/>
      <w:color w:val="1F497D" w:themeColor="text2"/>
      <w:sz w:val="22"/>
      <w:szCs w:val="21"/>
    </w:rPr>
  </w:style>
  <w:style w:type="character" w:styleId="Hyperlink">
    <w:name w:val="Hyperlink"/>
    <w:basedOn w:val="DefaultParagraphFont"/>
    <w:uiPriority w:val="99"/>
    <w:rsid w:val="009B091D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9B091D"/>
    <w:rPr>
      <w:rFonts w:ascii="Times New Roman" w:eastAsia="MS ??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091D"/>
    <w:rPr>
      <w:rFonts w:ascii="Times New Roman" w:eastAsia="MS ??" w:hAnsi="Times New Roman"/>
    </w:rPr>
  </w:style>
  <w:style w:type="character" w:styleId="EndnoteReference">
    <w:name w:val="endnote reference"/>
    <w:basedOn w:val="DefaultParagraphFont"/>
    <w:uiPriority w:val="99"/>
    <w:semiHidden/>
    <w:rsid w:val="009B091D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B091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F55F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F55F8"/>
    <w:rPr>
      <w:rFonts w:ascii="Times New Roman" w:eastAsiaTheme="minorHAnsi" w:hAnsi="Times New Roman"/>
    </w:rPr>
  </w:style>
  <w:style w:type="table" w:styleId="MediumShading1-Accent1">
    <w:name w:val="Medium Shading 1 Accent 1"/>
    <w:basedOn w:val="TableNormal"/>
    <w:uiPriority w:val="63"/>
    <w:rsid w:val="00EE11C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EE11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olorfulGrid-Accent1">
    <w:name w:val="Colorful Grid Accent 1"/>
    <w:basedOn w:val="TableNormal"/>
    <w:uiPriority w:val="73"/>
    <w:rsid w:val="00A210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dTable4-Accent1">
    <w:name w:val="Grid Table 4 Accent 1"/>
    <w:basedOn w:val="TableNormal"/>
    <w:uiPriority w:val="49"/>
    <w:rsid w:val="003F24B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2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0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024"/>
    <w:rPr>
      <w:b/>
      <w:bCs/>
    </w:rPr>
  </w:style>
  <w:style w:type="table" w:styleId="ListTable4-Accent5">
    <w:name w:val="List Table 4 Accent 5"/>
    <w:basedOn w:val="TableNormal"/>
    <w:uiPriority w:val="49"/>
    <w:rsid w:val="007539F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5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0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2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4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2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3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7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2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5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2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9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3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3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0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3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8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9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3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7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4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5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3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8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2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2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S:\Divisional%20Shares\ADAP\RPP%20Grant\FY2019\MasterMailMerge2019.xls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Percent of Vermonters</a:t>
            </a:r>
            <a:r>
              <a:rPr lang="en-US" sz="1100" baseline="0"/>
              <a:t> ages 18-25 who have seen or heard information about safe storage/disposal of unused prescription medications</a:t>
            </a:r>
          </a:p>
          <a:p>
            <a:pPr>
              <a:defRPr/>
            </a:pPr>
            <a:r>
              <a:rPr lang="en-US" sz="800" baseline="0"/>
              <a:t>Source: Vermont Young Adult Survey conducted by PIRE</a:t>
            </a:r>
            <a:endParaRPr lang="en-US" sz="8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'YAS exposure to disposal info'!$B$1:$D$1</c:f>
              <c:numCache>
                <c:formatCode>General</c:formatCode>
                <c:ptCount val="3"/>
                <c:pt idx="0">
                  <c:v>2014</c:v>
                </c:pt>
                <c:pt idx="1">
                  <c:v>2016</c:v>
                </c:pt>
                <c:pt idx="2">
                  <c:v>2018</c:v>
                </c:pt>
              </c:numCache>
            </c:numRef>
          </c:cat>
          <c:val>
            <c:numRef>
              <c:f>'YAS exposure to disposal info'!$B$2:$D$2</c:f>
              <c:numCache>
                <c:formatCode>General</c:formatCode>
                <c:ptCount val="3"/>
                <c:pt idx="0">
                  <c:v>32</c:v>
                </c:pt>
                <c:pt idx="1">
                  <c:v>38</c:v>
                </c:pt>
                <c:pt idx="2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F4-4CB6-A2E5-70A0B19A010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3942360"/>
        <c:axId val="503943672"/>
      </c:barChart>
      <c:catAx>
        <c:axId val="503942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3943672"/>
        <c:crosses val="autoZero"/>
        <c:auto val="1"/>
        <c:lblAlgn val="ctr"/>
        <c:lblOffset val="100"/>
        <c:noMultiLvlLbl val="0"/>
      </c:catAx>
      <c:valAx>
        <c:axId val="503943672"/>
        <c:scaling>
          <c:orientation val="minMax"/>
          <c:max val="8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3942360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50" spc="-50" baseline="0"/>
              <a:t>Percent of parents reporting that there are places in their community to dispose of unused prescription medications</a:t>
            </a:r>
          </a:p>
          <a:p>
            <a:pPr>
              <a:defRPr sz="1000"/>
            </a:pPr>
            <a:r>
              <a:rPr lang="en-US" sz="800"/>
              <a:t>Source: 2017 Vermont Parent Survey conducted by PIRE</a:t>
            </a:r>
          </a:p>
        </c:rich>
      </c:tx>
      <c:layout>
        <c:manualLayout>
          <c:xMode val="edge"/>
          <c:yMode val="edge"/>
          <c:x val="0.11046099655297657"/>
          <c:y val="3.01888734496423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Percent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BDD-46F5-96D3-5C37E6B5CE2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BDD-46F5-96D3-5C37E6B5CE2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BDD-46F5-96D3-5C37E6B5CE2B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>
                          <a:lumMod val="9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DBDD-46F5-96D3-5C37E6B5CE2B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>
                          <a:lumMod val="9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DBDD-46F5-96D3-5C37E6B5CE2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Don't Know</c:v>
                </c:pt>
                <c:pt idx="2">
                  <c:v>No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71.3</c:v>
                </c:pt>
                <c:pt idx="1">
                  <c:v>24</c:v>
                </c:pt>
                <c:pt idx="2">
                  <c:v>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BDD-46F5-96D3-5C37E6B5CE2B}"/>
            </c:ext>
          </c:extLst>
        </c:ser>
        <c:dLbls>
          <c:dLblPos val="bestFit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341AF-4A7E-4957-B724-51212898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2</Pages>
  <Words>765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 Department Of Health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Horton</dc:creator>
  <cp:lastModifiedBy>Uerz, Lori</cp:lastModifiedBy>
  <cp:revision>10</cp:revision>
  <cp:lastPrinted>2018-10-26T18:57:00Z</cp:lastPrinted>
  <dcterms:created xsi:type="dcterms:W3CDTF">2018-11-06T19:07:00Z</dcterms:created>
  <dcterms:modified xsi:type="dcterms:W3CDTF">2018-12-13T17:49:00Z</dcterms:modified>
</cp:coreProperties>
</file>